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69" w:rsidRDefault="00AA175D" w:rsidP="006F7569">
      <w:pPr>
        <w:tabs>
          <w:tab w:val="left" w:pos="3940"/>
        </w:tabs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es-EC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5C47DDD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743075" cy="590550"/>
            <wp:effectExtent l="0" t="0" r="9525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3119780-A40D-4FAD-860D-48CD96644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3119780-A40D-4FAD-860D-48CD9664448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r="56421" b="88219"/>
                    <a:stretch/>
                  </pic:blipFill>
                  <pic:spPr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69" w:rsidRPr="00C63F1D" w:rsidRDefault="006F7569" w:rsidP="00A11255">
      <w:pPr>
        <w:tabs>
          <w:tab w:val="left" w:pos="2025"/>
        </w:tabs>
        <w:spacing w:after="0" w:line="240" w:lineRule="auto"/>
        <w:ind w:left="-709"/>
        <w:rPr>
          <w:color w:val="FF0000"/>
          <w:sz w:val="32"/>
        </w:rPr>
      </w:pPr>
      <w:r>
        <w:rPr>
          <w:rFonts w:ascii="Calibri" w:eastAsia="Times New Roman" w:hAnsi="Calibri" w:cs="Calibri"/>
          <w:color w:val="000000"/>
          <w:lang w:eastAsia="es-EC"/>
        </w:rPr>
        <w:tab/>
        <w:t xml:space="preserve">        </w:t>
      </w:r>
      <w:r>
        <w:rPr>
          <w:rFonts w:ascii="Calibri" w:eastAsia="Times New Roman" w:hAnsi="Calibri" w:cs="Calibri"/>
          <w:color w:val="000000"/>
          <w:lang w:eastAsia="es-EC"/>
        </w:rPr>
        <w:tab/>
        <w:t xml:space="preserve">        </w:t>
      </w:r>
      <w:r w:rsidR="00C63F1D">
        <w:rPr>
          <w:color w:val="FF0000"/>
          <w:sz w:val="32"/>
        </w:rPr>
        <w:t>AREA / UNIDAD / DIRECCION</w:t>
      </w:r>
    </w:p>
    <w:p w:rsidR="009D2767" w:rsidRDefault="009D2767" w:rsidP="00C84390">
      <w:pPr>
        <w:rPr>
          <w:rFonts w:ascii="Calibri" w:eastAsia="Times New Roman" w:hAnsi="Calibri" w:cs="Calibri"/>
          <w:lang w:eastAsia="es-EC"/>
        </w:rPr>
      </w:pPr>
    </w:p>
    <w:p w:rsidR="009D2767" w:rsidRDefault="009D2767" w:rsidP="009D2767">
      <w:pPr>
        <w:ind w:left="142"/>
        <w:jc w:val="center"/>
        <w:rPr>
          <w:b/>
          <w:sz w:val="28"/>
        </w:rPr>
      </w:pPr>
      <w:r w:rsidRPr="00B50128">
        <w:rPr>
          <w:b/>
          <w:noProof/>
          <w:sz w:val="28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D9D2B" wp14:editId="18C3391D">
                <wp:simplePos x="0" y="0"/>
                <wp:positionH relativeFrom="margin">
                  <wp:posOffset>5188527</wp:posOffset>
                </wp:positionH>
                <wp:positionV relativeFrom="paragraph">
                  <wp:posOffset>58882</wp:posOffset>
                </wp:positionV>
                <wp:extent cx="1502757" cy="260985"/>
                <wp:effectExtent l="0" t="0" r="21590" b="2476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57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132" w:rsidRPr="00C63F1D" w:rsidRDefault="008A7132" w:rsidP="009D2767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 w:rsidRPr="00C63F1D">
                              <w:rPr>
                                <w:color w:val="FF0000"/>
                                <w:lang w:val="es-ES"/>
                              </w:rPr>
                              <w:t>No 0</w:t>
                            </w:r>
                            <w:r w:rsidR="00C63F1D">
                              <w:rPr>
                                <w:color w:val="FF0000"/>
                                <w:lang w:val="es-ES"/>
                              </w:rPr>
                              <w:t>00</w:t>
                            </w:r>
                            <w:r w:rsidRPr="00C63F1D">
                              <w:rPr>
                                <w:color w:val="FF0000"/>
                                <w:lang w:val="es-ES"/>
                              </w:rPr>
                              <w:t>-</w:t>
                            </w:r>
                            <w:r w:rsidR="00C63F1D">
                              <w:rPr>
                                <w:color w:val="FF0000"/>
                                <w:lang w:val="es-ES"/>
                              </w:rPr>
                              <w:t>XX</w:t>
                            </w:r>
                            <w:r w:rsidRPr="00C63F1D">
                              <w:rPr>
                                <w:color w:val="FF0000"/>
                                <w:lang w:val="es-ES"/>
                              </w:rPr>
                              <w:t>-UNL</w:t>
                            </w:r>
                            <w:r w:rsidR="00C63F1D" w:rsidRPr="00C63F1D">
                              <w:rPr>
                                <w:color w:val="FF0000"/>
                                <w:lang w:val="es-ES"/>
                              </w:rPr>
                              <w:t>-20</w:t>
                            </w:r>
                            <w:r w:rsidR="00733904">
                              <w:rPr>
                                <w:color w:val="FF0000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9D2B" id="Rectángulo 2" o:spid="_x0000_s1026" style="position:absolute;left:0;text-align:left;margin-left:408.55pt;margin-top:4.65pt;width:118.35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EFhwIAACIFAAAOAAAAZHJzL2Uyb0RvYy54bWysVEtu2zAQ3RfoHQjuG8lCHCdG5MBI4KJA&#10;kARNiqxpirIE8FeStuTepmfpxfpIKYnzWRX1gp7hDOfz5o3OL3olyU443xpd0slRTonQ3FSt3pT0&#10;x8PqyyklPjBdMWm0KOleeHqx+PzpvLNzUZjGyEo4giDazztb0iYEO88yzxuhmD8yVmgYa+MUC1Dd&#10;Jqsc6xBdyazI85OsM66yznDhPW6vBiNdpPh1LXi4rWsvApElRW0hnS6d63hmi3M23zhmm5aPZbB/&#10;qEKxViPpc6grFhjZuvZdKNVyZ7ypwxE3KjN13XKRekA3k/xNN/cNsyL1AnC8fYbJ/7+w/GZ350hb&#10;YXaUaKYwou8A7c9vvdlKQ4oIUGf9HH739s6NmocYu+1rp+I/+iB9AnX/DKroA+G4nEzzYjadUcJh&#10;K07ys9NpDJq9vLbOh6/CKBKFkjrkT1iy3bUPg+uTS0zmjWyrVStlUvb+UjqyY5gvaFGZjhLJfMBl&#10;SVfpN2Z79Uxq0qG0YpaDFJyBeLVkAaKygMLrDSVMbsBoHlyq5dVr/y7pA7o9SJyn30eJYyNXzDdD&#10;xSlqdGNz1QYsgmxVSU8PX0sdrSJReYQjzmOYQJRCv+7HsaxNtcc0nRlo7i1ftch3DTzumAOv0Sx2&#10;NdziqKUBAmaUKGmM+/XRffQH3WClpMOeAJ2fW+YEuv2mQcSzyfFxXKykHE9nBRR3aFkfWvRWXRqM&#10;CmRDdUmM/kE+ibUz6hErvYxZYWKaI/cwh1G5DMP+4qPAxXKZ3LBMloVrfW95DB4hi0g/9I/M2ZFX&#10;ATO6MU87xeZv6DX4xpfaLLfB1G3iXoR4wBWcjQoWMbF3/GjETT/Uk9fLp23xFwAA//8DAFBLAwQU&#10;AAYACAAAACEAtzZJkN4AAAAJAQAADwAAAGRycy9kb3ducmV2LnhtbEyPzU7DMBCE70i8g7VI3Kgd&#10;SqEN2VQICQkhcSD8nN14iaPG6yh20tCnxz3BcTSjmW+K7ew6MdEQWs8I2UKBIK69ablB+Hh/ulqD&#10;CFGz0Z1nQvihANvy/KzQufEHfqOpio1IJRxyjWBj7HMpQ23J6bDwPXHyvv3gdExyaKQZ9CGVu05e&#10;K3UrnW45LVjd06Olel+NDuElHMepNuF1trN93nx+qWPFe8TLi/nhHkSkOf6F4YSf0KFMTDs/sgmi&#10;Q1hnd1mKImyWIE6+Wi3Tlx3CSt2ALAv5/0H5CwAA//8DAFBLAQItABQABgAIAAAAIQC2gziS/gAA&#10;AOEBAAATAAAAAAAAAAAAAAAAAAAAAABbQ29udGVudF9UeXBlc10ueG1sUEsBAi0AFAAGAAgAAAAh&#10;ADj9If/WAAAAlAEAAAsAAAAAAAAAAAAAAAAALwEAAF9yZWxzLy5yZWxzUEsBAi0AFAAGAAgAAAAh&#10;ADtLsQWHAgAAIgUAAA4AAAAAAAAAAAAAAAAALgIAAGRycy9lMm9Eb2MueG1sUEsBAi0AFAAGAAgA&#10;AAAhALc2SZDeAAAACQEAAA8AAAAAAAAAAAAAAAAA4QQAAGRycy9kb3ducmV2LnhtbFBLBQYAAAAA&#10;BAAEAPMAAADsBQAAAAA=&#10;" fillcolor="window" strokecolor="windowText" strokeweight="1pt">
                <v:textbox>
                  <w:txbxContent>
                    <w:p w:rsidR="008A7132" w:rsidRPr="00C63F1D" w:rsidRDefault="008A7132" w:rsidP="009D2767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 w:rsidRPr="00C63F1D">
                        <w:rPr>
                          <w:color w:val="FF0000"/>
                          <w:lang w:val="es-ES"/>
                        </w:rPr>
                        <w:t>No 0</w:t>
                      </w:r>
                      <w:r w:rsidR="00C63F1D">
                        <w:rPr>
                          <w:color w:val="FF0000"/>
                          <w:lang w:val="es-ES"/>
                        </w:rPr>
                        <w:t>00</w:t>
                      </w:r>
                      <w:r w:rsidRPr="00C63F1D">
                        <w:rPr>
                          <w:color w:val="FF0000"/>
                          <w:lang w:val="es-ES"/>
                        </w:rPr>
                        <w:t>-</w:t>
                      </w:r>
                      <w:r w:rsidR="00C63F1D">
                        <w:rPr>
                          <w:color w:val="FF0000"/>
                          <w:lang w:val="es-ES"/>
                        </w:rPr>
                        <w:t>XX</w:t>
                      </w:r>
                      <w:r w:rsidRPr="00C63F1D">
                        <w:rPr>
                          <w:color w:val="FF0000"/>
                          <w:lang w:val="es-ES"/>
                        </w:rPr>
                        <w:t>-UNL</w:t>
                      </w:r>
                      <w:r w:rsidR="00C63F1D" w:rsidRPr="00C63F1D">
                        <w:rPr>
                          <w:color w:val="FF0000"/>
                          <w:lang w:val="es-ES"/>
                        </w:rPr>
                        <w:t>-20</w:t>
                      </w:r>
                      <w:r w:rsidR="00733904">
                        <w:rPr>
                          <w:color w:val="FF0000"/>
                          <w:lang w:val="es-ES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0128">
        <w:rPr>
          <w:b/>
          <w:sz w:val="48"/>
        </w:rPr>
        <w:t>SOLICITUD DE COMPRA</w:t>
      </w:r>
      <w:r>
        <w:rPr>
          <w:b/>
          <w:sz w:val="48"/>
        </w:rPr>
        <w:tab/>
      </w:r>
      <w:r w:rsidRPr="002A15BC">
        <w:rPr>
          <w:b/>
          <w:sz w:val="48"/>
        </w:rPr>
        <w:t>No.</w:t>
      </w:r>
      <w:r>
        <w:rPr>
          <w:b/>
          <w:sz w:val="28"/>
        </w:rPr>
        <w:t xml:space="preserve">                                                                           </w:t>
      </w:r>
    </w:p>
    <w:p w:rsidR="00E55688" w:rsidRDefault="009D2767" w:rsidP="00A2551B">
      <w:pPr>
        <w:tabs>
          <w:tab w:val="left" w:pos="744"/>
        </w:tabs>
        <w:spacing w:after="0" w:line="276" w:lineRule="auto"/>
        <w:ind w:left="-426"/>
        <w:rPr>
          <w:rFonts w:ascii="Arial" w:eastAsia="Arial" w:hAnsi="Arial" w:cs="Arial"/>
          <w:b/>
        </w:rPr>
      </w:pPr>
      <w:r>
        <w:rPr>
          <w:rFonts w:ascii="Calibri" w:eastAsia="Times New Roman" w:hAnsi="Calibri" w:cs="Calibri"/>
          <w:color w:val="000000"/>
          <w:lang w:eastAsia="es-EC"/>
        </w:rPr>
        <w:t xml:space="preserve">        Sr</w:t>
      </w:r>
      <w:r w:rsidR="00A2551B">
        <w:rPr>
          <w:rFonts w:ascii="Calibri" w:eastAsia="Times New Roman" w:hAnsi="Calibri" w:cs="Calibri"/>
          <w:color w:val="000000"/>
          <w:lang w:eastAsia="es-EC"/>
        </w:rPr>
        <w:t>.</w:t>
      </w:r>
      <w:r w:rsidRPr="00C63F1D">
        <w:rPr>
          <w:rFonts w:ascii="Calibri" w:eastAsia="Times New Roman" w:hAnsi="Calibri" w:cs="Calibri"/>
          <w:color w:val="FF0000"/>
          <w:lang w:eastAsia="es-EC"/>
        </w:rPr>
        <w:t xml:space="preserve"> </w:t>
      </w:r>
      <w:r w:rsidR="00A2551B">
        <w:rPr>
          <w:rFonts w:ascii="Calibri" w:eastAsia="Times New Roman" w:hAnsi="Calibri" w:cs="Calibri"/>
          <w:color w:val="FF0000"/>
          <w:lang w:eastAsia="es-EC"/>
        </w:rPr>
        <w:t>Ing. Nikolay Arturo Aguirre Mendoza.</w:t>
      </w:r>
      <w:r w:rsidR="00733904">
        <w:rPr>
          <w:rFonts w:ascii="Calibri" w:eastAsia="Times New Roman" w:hAnsi="Calibri" w:cs="Calibri"/>
          <w:color w:val="FF0000"/>
          <w:lang w:eastAsia="es-EC"/>
        </w:rPr>
        <w:t xml:space="preserve"> </w:t>
      </w:r>
      <w:proofErr w:type="spellStart"/>
      <w:r w:rsidR="00733904">
        <w:rPr>
          <w:rFonts w:ascii="Calibri" w:eastAsia="Times New Roman" w:hAnsi="Calibri" w:cs="Calibri"/>
          <w:color w:val="FF0000"/>
          <w:lang w:eastAsia="es-EC"/>
        </w:rPr>
        <w:t>Ph</w:t>
      </w:r>
      <w:proofErr w:type="spellEnd"/>
      <w:r w:rsidR="00733904">
        <w:rPr>
          <w:rFonts w:ascii="Calibri" w:eastAsia="Times New Roman" w:hAnsi="Calibri" w:cs="Calibri"/>
          <w:color w:val="FF0000"/>
          <w:lang w:eastAsia="es-EC"/>
        </w:rPr>
        <w:t>. D</w:t>
      </w:r>
    </w:p>
    <w:p w:rsidR="00E55688" w:rsidRDefault="00E55688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RECTOR</w:t>
      </w:r>
      <w:r w:rsidR="00A2551B">
        <w:rPr>
          <w:rFonts w:ascii="Arial" w:eastAsia="Arial" w:hAnsi="Arial" w:cs="Arial"/>
          <w:b/>
        </w:rPr>
        <w:t xml:space="preserve"> DE LA UNIVERSIDAD NACIONAL DE LOJA</w:t>
      </w:r>
    </w:p>
    <w:p w:rsidR="00C32763" w:rsidRDefault="00C32763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999999"/>
        </w:rPr>
      </w:pPr>
    </w:p>
    <w:p w:rsidR="00C34452" w:rsidRPr="00C34452" w:rsidRDefault="00C34452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FF0000"/>
          <w:sz w:val="16"/>
          <w:szCs w:val="16"/>
        </w:rPr>
      </w:pPr>
      <w:r w:rsidRPr="00C34452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Las contrataciones inferiores a $ </w:t>
      </w:r>
      <w:r w:rsidR="00A669B4">
        <w:rPr>
          <w:rFonts w:ascii="Arial" w:eastAsia="Arial" w:hAnsi="Arial" w:cs="Arial"/>
          <w:b/>
          <w:i/>
          <w:color w:val="FF0000"/>
          <w:sz w:val="16"/>
          <w:szCs w:val="16"/>
        </w:rPr>
        <w:t>6</w:t>
      </w:r>
      <w:r w:rsidRPr="00C34452">
        <w:rPr>
          <w:rFonts w:ascii="Arial" w:eastAsia="Arial" w:hAnsi="Arial" w:cs="Arial"/>
          <w:b/>
          <w:i/>
          <w:color w:val="FF0000"/>
          <w:sz w:val="16"/>
          <w:szCs w:val="16"/>
        </w:rPr>
        <w:t>.</w:t>
      </w:r>
      <w:r w:rsidR="00A669B4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416.07 </w:t>
      </w:r>
      <w:r w:rsidRPr="00C34452"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y que no estén en el catálogo electrónico del SERCOP, deberán estar dirigidas al Director Administrativo (Procedimientos de Ínfima Cuantía). </w:t>
      </w:r>
    </w:p>
    <w:p w:rsidR="00C34452" w:rsidRDefault="00C34452" w:rsidP="00E55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999999"/>
        </w:rPr>
      </w:pPr>
    </w:p>
    <w:p w:rsidR="00E55688" w:rsidRDefault="00E55688" w:rsidP="00A25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2F728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Sírvase autorizar la </w:t>
      </w:r>
      <w:r>
        <w:rPr>
          <w:sz w:val="28"/>
          <w:szCs w:val="28"/>
        </w:rPr>
        <w:t>“</w:t>
      </w:r>
      <w:r w:rsidR="006A115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“</w:t>
      </w:r>
      <w:r w:rsidR="006A1154">
        <w:rPr>
          <w:rFonts w:ascii="Times New Roman" w:hAnsi="Times New Roman" w:cs="Times New Roman"/>
          <w:i/>
          <w:color w:val="808080"/>
          <w:sz w:val="20"/>
          <w:szCs w:val="20"/>
        </w:rPr>
        <w:t>CONTRATACION DE PRODUCTOS Y SERVICIOS COMUNICACIONALES PARA DIFUNFIR LAS ACCIONES DE LA UNIVERSIDAD MACIONAL DE LOJA</w:t>
      </w:r>
      <w:r w:rsidR="006A115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” </w:t>
      </w:r>
      <w:r>
        <w:rPr>
          <w:rFonts w:ascii="Arial" w:eastAsia="Arial" w:hAnsi="Arial" w:cs="Arial"/>
        </w:rPr>
        <w:t xml:space="preserve">de acuerdo a las especiaciones técnicas adjuntas: </w:t>
      </w:r>
    </w:p>
    <w:p w:rsidR="00C32763" w:rsidRDefault="00C32763" w:rsidP="00545A78">
      <w:pPr>
        <w:spacing w:after="0"/>
        <w:jc w:val="both"/>
        <w:rPr>
          <w:rFonts w:ascii="Arial" w:eastAsia="Arial" w:hAnsi="Arial" w:cs="Arial"/>
          <w:color w:val="999999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182"/>
        <w:gridCol w:w="1448"/>
        <w:gridCol w:w="1039"/>
        <w:gridCol w:w="1985"/>
        <w:gridCol w:w="1057"/>
        <w:gridCol w:w="837"/>
        <w:gridCol w:w="593"/>
        <w:gridCol w:w="925"/>
      </w:tblGrid>
      <w:tr w:rsidR="00A669B4" w:rsidTr="00A669B4">
        <w:trPr>
          <w:trHeight w:val="303"/>
          <w:jc w:val="center"/>
        </w:trPr>
        <w:tc>
          <w:tcPr>
            <w:tcW w:w="447" w:type="dxa"/>
            <w:vMerge w:val="restart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bookmarkStart w:id="0" w:name="_Hlk34980741"/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Nro.</w:t>
            </w:r>
          </w:p>
        </w:tc>
        <w:tc>
          <w:tcPr>
            <w:tcW w:w="1182" w:type="dxa"/>
            <w:vMerge w:val="restart"/>
            <w:shd w:val="clear" w:color="auto" w:fill="D9E2F3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CPC por cada tipo de bien / servicio</w:t>
            </w:r>
          </w:p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Merge w:val="restart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 xml:space="preserve">Descripción 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br/>
              <w:t>del bien o servicio</w:t>
            </w:r>
          </w:p>
        </w:tc>
        <w:tc>
          <w:tcPr>
            <w:tcW w:w="1039" w:type="dxa"/>
            <w:vMerge w:val="restart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Atributos</w:t>
            </w:r>
          </w:p>
        </w:tc>
        <w:tc>
          <w:tcPr>
            <w:tcW w:w="1985" w:type="dxa"/>
            <w:vMerge w:val="restart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 xml:space="preserve">Características o especificaciones técnicas, requisitos funcionales o tecnológicos </w:t>
            </w:r>
          </w:p>
        </w:tc>
        <w:tc>
          <w:tcPr>
            <w:tcW w:w="1057" w:type="dxa"/>
            <w:vMerge w:val="restart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Condiciones de uso</w:t>
            </w:r>
          </w:p>
        </w:tc>
        <w:tc>
          <w:tcPr>
            <w:tcW w:w="1430" w:type="dxa"/>
            <w:gridSpan w:val="2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925" w:type="dxa"/>
            <w:vMerge w:val="restart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Merge/>
            <w:vAlign w:val="center"/>
            <w:hideMark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  <w:vMerge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 xml:space="preserve">Numero </w:t>
            </w:r>
          </w:p>
        </w:tc>
        <w:tc>
          <w:tcPr>
            <w:tcW w:w="593" w:type="dxa"/>
            <w:shd w:val="clear" w:color="auto" w:fill="D9E2F3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Letras</w:t>
            </w:r>
          </w:p>
        </w:tc>
        <w:tc>
          <w:tcPr>
            <w:tcW w:w="0" w:type="auto"/>
            <w:vMerge/>
            <w:vAlign w:val="center"/>
            <w:hideMark/>
          </w:tcPr>
          <w:p w:rsidR="00A669B4" w:rsidRDefault="00A669B4" w:rsidP="009D20E7">
            <w:pPr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Pr="00534A01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 w:rsidRPr="00534A01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Pr="00534A01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 w:rsidRPr="00534A01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Pr="00534A01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 w:rsidRPr="00534A01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Pr="00534A01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Pr="00534A01" w:rsidRDefault="00A669B4" w:rsidP="009D20E7">
            <w:pPr>
              <w:jc w:val="center"/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  <w:hideMark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bookmarkEnd w:id="0"/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Tr="00A669B4">
        <w:trPr>
          <w:trHeight w:val="303"/>
          <w:jc w:val="center"/>
        </w:trPr>
        <w:tc>
          <w:tcPr>
            <w:tcW w:w="44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2" w:type="dxa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48" w:type="dxa"/>
            <w:vAlign w:val="center"/>
          </w:tcPr>
          <w:p w:rsidR="00A669B4" w:rsidRDefault="00A669B4" w:rsidP="009D20E7">
            <w:pPr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39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8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5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837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3" w:type="dxa"/>
            <w:vAlign w:val="center"/>
          </w:tcPr>
          <w:p w:rsidR="00A669B4" w:rsidRDefault="00A669B4" w:rsidP="009D20E7">
            <w:pPr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25" w:type="dxa"/>
            <w:vAlign w:val="center"/>
          </w:tcPr>
          <w:p w:rsidR="00A669B4" w:rsidRDefault="00A669B4" w:rsidP="009D20E7">
            <w:pPr>
              <w:jc w:val="center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A669B4" w:rsidRDefault="00A669B4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tbl>
      <w:tblPr>
        <w:tblW w:w="9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3599"/>
        <w:gridCol w:w="3601"/>
      </w:tblGrid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bookmarkStart w:id="1" w:name="_Hlk35511629"/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Forma de pago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9C57B9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C57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Anticipo SI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(</w:t>
            </w:r>
            <w:r w:rsidRPr="009C57B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X</w:t>
            </w:r>
            <w:r w:rsidRPr="009C57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* –</w:t>
            </w:r>
            <w:r w:rsidRPr="009C57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NO (</w:t>
            </w:r>
            <w:r w:rsidRPr="009C57B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X</w:t>
            </w:r>
            <w:r w:rsidRPr="009C57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AB0B25" w:rsidRDefault="00A669B4" w:rsidP="00A669B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EA6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Porcentaje (</w:t>
            </w:r>
            <w:r w:rsidRPr="00EA6DC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  <w:r w:rsidRPr="00EA6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%)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.</w:t>
            </w:r>
          </w:p>
          <w:p w:rsidR="00A669B4" w:rsidRDefault="00A669B4" w:rsidP="009D20E7">
            <w:pPr>
              <w:pStyle w:val="Prrafodelista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*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(el anticipo no podrá ser mayor al 70% en bienes y servicios)</w:t>
            </w:r>
          </w:p>
          <w:p w:rsidR="00A669B4" w:rsidRDefault="00A669B4" w:rsidP="009D20E7">
            <w:pPr>
              <w:pStyle w:val="Prrafodelista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AB0B25" w:rsidRDefault="00A669B4" w:rsidP="00A669B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AB0B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El otro</w:t>
            </w:r>
            <w:r w:rsidRPr="00EA6DC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30% </w:t>
            </w:r>
            <w:r w:rsidRPr="00AB0B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contra entrega de los bienes o servicios contratados y luego de la suscripción del de acta entrega recepción.</w:t>
            </w:r>
          </w:p>
          <w:p w:rsidR="00A669B4" w:rsidRPr="00AB0B25" w:rsidRDefault="00A669B4" w:rsidP="009D20E7">
            <w:pPr>
              <w:pStyle w:val="Prrafodelista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7405EB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7405EB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Nota: aclaratoria: En los procedimientos de ínfima cuantía no se entregará anticipo.</w:t>
            </w:r>
          </w:p>
          <w:p w:rsidR="00A669B4" w:rsidRPr="00E20497" w:rsidRDefault="00A669B4" w:rsidP="009D20E7">
            <w:pPr>
              <w:pStyle w:val="Prrafodelista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7F3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Pago contra entrega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Establecer las condiciones del pago.</w:t>
            </w:r>
          </w:p>
          <w:p w:rsidR="00A669B4" w:rsidRPr="00AB0B25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A6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Pago en Dólares de los Estados Unidos de América.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Pr="00EC5F48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EC5F48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En los contratos cuya forma de pago sea con anticipo, el plazo inicia a partir del día siguiente de la notificación por escrito por parte del administrador del contrato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respecto</w:t>
            </w:r>
            <w:r w:rsidRPr="00EC5F48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de la disponibilidad del anticipo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.</w:t>
            </w:r>
          </w:p>
          <w:p w:rsidR="00A669B4" w:rsidRPr="008D143D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Validez de la oferta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EA6DCD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EA6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30 días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término </w:t>
            </w:r>
            <w:r w:rsidRPr="00EA6D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desde la presentación de la oferta o hasta la suscripción del contrato / orden de compra, lo que ocurra primero.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Tiempo de entrega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/ Plazo de Ejecución:</w:t>
            </w: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(Ingrese el plazo de ejecución en días calendario)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30 </w:t>
            </w:r>
            <w:r w:rsidRPr="00DB3B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días calendario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y conforme lo establecido en el Art. 116 del Reglamento a la Ley Orgánica del Sistema Nacional de Contratación Pública y Art. 530 de la Resolución SERCOP-072-216.</w:t>
            </w: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Para montos superiores a USD. 6,416.07 (Año - 2021) se deberá coordinar con la Unidad de Contratación Pública para su determinación. </w:t>
            </w: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02746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En los contratos cuya forma de pago sea con anticipo, el plazo inicia a partir del día siguiente de la notificación por escrito por parte del administrador del contrato respecto de la disponibilidad del anticipo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.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La ejecución del contrato / orden de compra inicia en: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(X) Desde la fecha de suscripción del contrato / orden de compra.</w:t>
            </w: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(X) Desde l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a fecha de notificación de que el anticipo se encuentra disponible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.</w:t>
            </w: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(X) Desde cualquier otra condición de acuerdo a la naturaleza del contrato: establecer cual: _________________________________________________________________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Tipo de Adjudicación: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F3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Total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(x) – </w:t>
            </w:r>
            <w:r w:rsidRPr="007F3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Parcial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(x); </w:t>
            </w:r>
            <w:r w:rsidRPr="007F34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y considerando el criterio de mejor costo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establecido en los numerales 17 y 18 del Art. 6 de la LOSNCP según el caso; y en relación directa a los principios de contratación pública de calidad, oportunidad, igualdad, trato justo y transparencia.</w:t>
            </w:r>
          </w:p>
          <w:p w:rsidR="00A669B4" w:rsidRPr="007F3411" w:rsidRDefault="00A669B4" w:rsidP="009D20E7">
            <w:pPr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Forma de entrega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Ejemplos.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lastRenderedPageBreak/>
              <w:t xml:space="preserve">Entrega total o parcial de los bienes o servicios contratados, 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En refrigeración, protección, incluye transporte,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Incluye instalación,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Capacitación,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Etc.</w:t>
            </w: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>Lugar de entrega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580C1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Av. Pío Jaramillo Alvarado S/N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… según donde se requiera el bien u servicio objeto de la contratación.</w:t>
            </w: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Garantías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Pr="008D143D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A669B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  <w:t>Garantías por el buen uso del anticipo. SI (X). NO (X).</w:t>
            </w:r>
          </w:p>
          <w:p w:rsidR="00A669B4" w:rsidRPr="008D143D" w:rsidRDefault="00A669B4" w:rsidP="009D20E7">
            <w:pPr>
              <w:pStyle w:val="Prrafodelista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</w:pPr>
          </w:p>
          <w:p w:rsidR="00A669B4" w:rsidRPr="008D143D" w:rsidRDefault="00A669B4" w:rsidP="00A669B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  <w:t xml:space="preserve">Garantías por fiel cumplimiento. SI (X). NO (X). 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6E78A6" w:rsidRDefault="00A669B4" w:rsidP="00A669B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  <w:lang w:val="es-ES_tradnl"/>
              </w:rPr>
              <w:t xml:space="preserve">Garantía Técnica: </w:t>
            </w:r>
            <w:r w:rsidRPr="006E78A6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ante defectos de fabricación, deficiencias en resultados, ausencia de repuestos, accesorios, piezas y partes del bien, entre otros, que obstaculicen su normal funcionamiento durante la vida útil establecida por el fabricante. (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obligatorio </w:t>
            </w:r>
            <w:r w:rsidRPr="006E78A6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para bienes).</w:t>
            </w:r>
          </w:p>
          <w:p w:rsidR="00A669B4" w:rsidRPr="008D143D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CPC según 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para el objeto de contratación:</w:t>
            </w: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Código CPC Nivel 9. 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482430019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4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Descripción CPC - PAC:</w:t>
            </w:r>
          </w:p>
          <w:p w:rsidR="00A669B4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Equipo analizador de parámetros eléctricos</w:t>
            </w:r>
          </w:p>
          <w:p w:rsidR="00A669B4" w:rsidRPr="008D143D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Requerimientos de transferencia de tecnología para bienes importados adquiridos en la contratación pública por CPC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Verificar según los CPC registrados por el SERCOP en el Anexo 20.</w:t>
            </w: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CPC obligatorios para la desagregación tecnológica de bienes importados adquiridos en la contratación pública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Verificar según los CPC registrados por el SERCOP en el Anexo 21. </w:t>
            </w: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669B4" w:rsidRDefault="00A669B4" w:rsidP="009D2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Requisitos obligatorios para la </w:t>
            </w: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adquisición, arrendamiento y prestación de servicios en los que se requiera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  <w:p w:rsidR="00A669B4" w:rsidRPr="00BF28DB" w:rsidRDefault="00A669B4" w:rsidP="009D2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equipos informáticos, equipos de impresión, vehículos, equipos médicos y proyectores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PRINCIPIO DE VIGENCIA TECNOLÓGICA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6B4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Mantenimiento Preventivo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: SI (X)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–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(X): 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lastRenderedPageBreak/>
              <w:t>En el caso que si especificar como se brindará ese servicio.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6B4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Mantenimiento Correctivo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: SI (X)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–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(X): 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En el caso que si especificar como se brindará ese servicio.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6B4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Reposición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: SI (X)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–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(X): 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En el caso que si especificar como se brindar la reposición </w:t>
            </w: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6B4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Valor Residual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: SI (X)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–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</w:t>
            </w: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(X):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8D143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En el caso que si especificar como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.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8D143D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6B4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No Aplica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cuando los bienes no correspondan a bienes con vigencia tecnológica.</w:t>
            </w:r>
          </w:p>
          <w:p w:rsidR="00A669B4" w:rsidRPr="008D143D" w:rsidRDefault="00A669B4" w:rsidP="009D20E7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669B4" w:rsidRDefault="00A669B4" w:rsidP="009D2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Requisitos obligatorios para la 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adquisición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  <w:p w:rsidR="00A669B4" w:rsidRDefault="00A669B4" w:rsidP="009D20E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medicamentos,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dispositivos médicos, insumos médicos, productos dentales, y reactivos bioquímicos y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diagnóstico</w:t>
            </w:r>
          </w:p>
          <w:p w:rsidR="00A669B4" w:rsidRDefault="00A669B4" w:rsidP="009D20E7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Circular Nro. SERCOP-SERCOP-2020-0004-C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S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olicitar al proveedor de manera obligatoria los requisitos técnico-sanitarios para los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procesos de contratación pública, es decir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  <w:p w:rsidR="00A669B4" w:rsidRDefault="00A669B4" w:rsidP="009D20E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P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ermiso de funcionamiento vigente y los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respectivos certificados de Buenas Prácticas de Manufactura,</w:t>
            </w:r>
          </w:p>
          <w:p w:rsidR="00A669B4" w:rsidRDefault="00A669B4" w:rsidP="009D20E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Pr="00B31E50" w:rsidRDefault="00A669B4" w:rsidP="009D20E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Almacenamiento y Distribución</w:t>
            </w: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31E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[BPM/BPA/BPD], según corresponda.</w:t>
            </w: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6B4C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No Aplica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cuando los bienes no correspondan a este tipo bienes.</w:t>
            </w:r>
          </w:p>
          <w:p w:rsidR="00A669B4" w:rsidRDefault="00A669B4" w:rsidP="009D2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A669B4" w:rsidRPr="00BF28DB" w:rsidTr="00A669B4">
        <w:trPr>
          <w:trHeight w:val="35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BF28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  <w:t>Otra según la naturaleza de la contratación (de ser necesario)</w:t>
            </w:r>
          </w:p>
          <w:p w:rsidR="00A669B4" w:rsidRPr="00BF28DB" w:rsidRDefault="00A669B4" w:rsidP="009D20E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4" w:rsidRDefault="00A669B4" w:rsidP="009D2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18075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Eje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mplos: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Certificados de conformidad; 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Certificados de calidad; 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Para medicinas: fecha de expiración no </w:t>
            </w:r>
            <w:r w:rsidRPr="00967DCA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menor a un (1) año contado a partir de su recepción, excepto productos que por su naturaleza se degradan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;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Registro Sanitario;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Manuales, catálogos, (español);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lastRenderedPageBreak/>
              <w:t>Capacitación;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En el caso de libros ISBN (autor o editorial).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Derechos de Propiedad Intelectual.</w:t>
            </w:r>
          </w:p>
          <w:p w:rsidR="00A669B4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No se requiere.</w:t>
            </w:r>
          </w:p>
          <w:p w:rsidR="00A669B4" w:rsidRPr="00524C8C" w:rsidRDefault="00A669B4" w:rsidP="009D20E7">
            <w:pP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</w:tc>
      </w:tr>
      <w:bookmarkEnd w:id="1"/>
    </w:tbl>
    <w:p w:rsidR="00A669B4" w:rsidRDefault="00A669B4" w:rsidP="00A669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s-ES" w:eastAsia="es-ES"/>
        </w:rPr>
      </w:pPr>
    </w:p>
    <w:p w:rsidR="00545A78" w:rsidRDefault="00754410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Observaciones</w:t>
      </w:r>
      <w:r w:rsidR="0054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213EA8" w:rsidRDefault="00213EA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 xml:space="preserve">Para uso y destino: 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213EA8" w:rsidRDefault="00213EA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Responsable</w:t>
      </w:r>
      <w:r w:rsidR="0021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s del Requerimiento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  <w:t>: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AA175D" w:rsidRDefault="00AA175D" w:rsidP="00545A78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  <w:r>
        <w:rPr>
          <w:rFonts w:ascii="Calibri" w:eastAsia="Times New Roman" w:hAnsi="Calibri" w:cs="Times New Roman"/>
          <w:color w:val="FF0000"/>
          <w:lang w:eastAsia="es-EC"/>
        </w:rPr>
        <w:t xml:space="preserve">Nombres y Apellidos </w:t>
      </w:r>
    </w:p>
    <w:p w:rsidR="00545A78" w:rsidRPr="00AA175D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</w:pPr>
      <w:r w:rsidRPr="00AA175D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Cargo</w:t>
      </w: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C"/>
        </w:rPr>
      </w:pPr>
    </w:p>
    <w:p w:rsidR="00545A78" w:rsidRDefault="00545A78" w:rsidP="005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19389D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Fecha:  Loja,</w:t>
      </w:r>
      <w:r w:rsidRPr="00560A2A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de</w:t>
      </w:r>
      <w:r w:rsidR="006A115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marzo de 2020.</w:t>
      </w:r>
    </w:p>
    <w:p w:rsidR="00754410" w:rsidRDefault="00754410" w:rsidP="005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754410" w:rsidRDefault="00754410" w:rsidP="005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Atentamente,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ab/>
      </w:r>
      <w:r w:rsidR="005B2B96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 </w:t>
      </w:r>
      <w:r>
        <w:rPr>
          <w:rFonts w:ascii="Calibri" w:eastAsia="Times New Roman" w:hAnsi="Calibri" w:cs="Times New Roman"/>
          <w:b/>
          <w:bCs/>
          <w:color w:val="000000"/>
          <w:lang w:eastAsia="es-EC"/>
        </w:rPr>
        <w:t>VISTO BUENO JEFE INMEDIATO</w:t>
      </w:r>
    </w:p>
    <w:p w:rsidR="008D1DF8" w:rsidRDefault="008D1DF8" w:rsidP="00754410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</w:p>
    <w:p w:rsidR="00213EA8" w:rsidRDefault="00213EA8" w:rsidP="00754410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</w:p>
    <w:p w:rsidR="00213EA8" w:rsidRDefault="00213EA8" w:rsidP="00754410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</w:p>
    <w:p w:rsidR="00754410" w:rsidRDefault="00754410" w:rsidP="008D1DF8">
      <w:pPr>
        <w:spacing w:after="0" w:line="240" w:lineRule="auto"/>
        <w:rPr>
          <w:rFonts w:ascii="Calibri" w:eastAsia="Times New Roman" w:hAnsi="Calibri" w:cs="Times New Roman"/>
          <w:color w:val="FF0000"/>
          <w:lang w:eastAsia="es-EC"/>
        </w:rPr>
      </w:pPr>
      <w:r>
        <w:rPr>
          <w:rFonts w:ascii="Calibri" w:eastAsia="Times New Roman" w:hAnsi="Calibri" w:cs="Times New Roman"/>
          <w:color w:val="FF0000"/>
          <w:lang w:eastAsia="es-EC"/>
        </w:rPr>
        <w:t>Nombres y Apellidos Solicitante</w:t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>
        <w:rPr>
          <w:rFonts w:ascii="Calibri" w:eastAsia="Times New Roman" w:hAnsi="Calibri" w:cs="Times New Roman"/>
          <w:color w:val="FF0000"/>
          <w:lang w:eastAsia="es-EC"/>
        </w:rPr>
        <w:tab/>
      </w:r>
      <w:r w:rsidR="008D1DF8">
        <w:rPr>
          <w:rFonts w:ascii="Calibri" w:eastAsia="Times New Roman" w:hAnsi="Calibri" w:cs="Times New Roman"/>
          <w:color w:val="FF0000"/>
          <w:lang w:eastAsia="es-EC"/>
        </w:rPr>
        <w:tab/>
      </w:r>
      <w:r w:rsidR="005B2B96">
        <w:rPr>
          <w:rFonts w:ascii="Calibri" w:eastAsia="Times New Roman" w:hAnsi="Calibri" w:cs="Times New Roman"/>
          <w:color w:val="FF0000"/>
          <w:lang w:eastAsia="es-EC"/>
        </w:rPr>
        <w:t xml:space="preserve">              </w:t>
      </w:r>
      <w:r>
        <w:rPr>
          <w:rFonts w:ascii="Calibri" w:eastAsia="Times New Roman" w:hAnsi="Calibri" w:cs="Times New Roman"/>
          <w:color w:val="FF0000"/>
          <w:lang w:eastAsia="es-EC"/>
        </w:rPr>
        <w:t>Nombres y Apellidos</w:t>
      </w:r>
    </w:p>
    <w:p w:rsidR="00754410" w:rsidRPr="005B2B96" w:rsidRDefault="005B2B96" w:rsidP="00754410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es-EC"/>
        </w:rPr>
      </w:pPr>
      <w:r>
        <w:rPr>
          <w:rFonts w:ascii="Calibri" w:eastAsia="Times New Roman" w:hAnsi="Calibri" w:cs="Times New Roman"/>
          <w:b/>
          <w:color w:val="000000"/>
          <w:lang w:eastAsia="es-EC"/>
        </w:rPr>
        <w:t xml:space="preserve">                         </w:t>
      </w:r>
      <w:r w:rsidR="00754410" w:rsidRPr="005B2B96">
        <w:rPr>
          <w:rFonts w:ascii="Calibri" w:eastAsia="Times New Roman" w:hAnsi="Calibri" w:cs="Times New Roman"/>
          <w:b/>
          <w:color w:val="000000"/>
          <w:lang w:eastAsia="es-EC"/>
        </w:rPr>
        <w:t>CARGO</w:t>
      </w:r>
      <w:r w:rsidR="008D1DF8" w:rsidRPr="005B2B96">
        <w:rPr>
          <w:rFonts w:ascii="Calibri" w:eastAsia="Times New Roman" w:hAnsi="Calibri" w:cs="Times New Roman"/>
          <w:b/>
          <w:color w:val="000000"/>
          <w:lang w:eastAsia="es-EC"/>
        </w:rPr>
        <w:tab/>
      </w:r>
      <w:r w:rsidR="008D1DF8" w:rsidRPr="005B2B96">
        <w:rPr>
          <w:rFonts w:ascii="Calibri" w:eastAsia="Times New Roman" w:hAnsi="Calibri" w:cs="Times New Roman"/>
          <w:b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>
        <w:rPr>
          <w:rFonts w:ascii="Calibri" w:eastAsia="Times New Roman" w:hAnsi="Calibri" w:cs="Times New Roman"/>
          <w:color w:val="000000"/>
          <w:lang w:eastAsia="es-EC"/>
        </w:rPr>
        <w:tab/>
      </w:r>
      <w:r w:rsidR="008D1DF8" w:rsidRPr="005B2B96">
        <w:rPr>
          <w:rFonts w:ascii="Calibri" w:eastAsia="Times New Roman" w:hAnsi="Calibri" w:cs="Times New Roman"/>
          <w:b/>
          <w:color w:val="000000"/>
          <w:lang w:eastAsia="es-EC"/>
        </w:rPr>
        <w:t>CARGO</w:t>
      </w:r>
    </w:p>
    <w:p w:rsidR="006A1154" w:rsidRDefault="00545A78" w:rsidP="00754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      </w:t>
      </w:r>
    </w:p>
    <w:p w:rsidR="006A1154" w:rsidRPr="00754410" w:rsidRDefault="006A1154" w:rsidP="00754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W w:w="100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5"/>
        <w:gridCol w:w="3991"/>
      </w:tblGrid>
      <w:tr w:rsidR="0084425E" w:rsidRPr="0019389D" w:rsidTr="00545A78">
        <w:trPr>
          <w:trHeight w:val="507"/>
        </w:trPr>
        <w:tc>
          <w:tcPr>
            <w:tcW w:w="6105" w:type="dxa"/>
            <w:shd w:val="clear" w:color="auto" w:fill="auto"/>
            <w:vAlign w:val="center"/>
            <w:hideMark/>
          </w:tcPr>
          <w:p w:rsidR="0084425E" w:rsidRPr="00E178F0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s-EC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AUTORIZADO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84425E" w:rsidRPr="0019389D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213E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CERTIFICACIÓN EXISTENCIA</w:t>
            </w:r>
          </w:p>
        </w:tc>
      </w:tr>
      <w:tr w:rsidR="0084425E" w:rsidRPr="0019389D" w:rsidTr="00545A78">
        <w:trPr>
          <w:trHeight w:val="1830"/>
        </w:trPr>
        <w:tc>
          <w:tcPr>
            <w:tcW w:w="6105" w:type="dxa"/>
            <w:shd w:val="clear" w:color="auto" w:fill="auto"/>
            <w:noWrap/>
            <w:vAlign w:val="bottom"/>
          </w:tcPr>
          <w:p w:rsidR="00A669B4" w:rsidRPr="00A36AE9" w:rsidRDefault="00A669B4" w:rsidP="00A669B4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A36AE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(Obligatorio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firma electrónica</w:t>
            </w:r>
            <w:r w:rsidRPr="00A36AE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)</w:t>
            </w:r>
          </w:p>
          <w:p w:rsidR="0084425E" w:rsidRPr="00E178F0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EC"/>
              </w:rPr>
            </w:pPr>
          </w:p>
        </w:tc>
        <w:tc>
          <w:tcPr>
            <w:tcW w:w="3991" w:type="dxa"/>
            <w:shd w:val="clear" w:color="auto" w:fill="auto"/>
            <w:noWrap/>
            <w:vAlign w:val="bottom"/>
            <w:hideMark/>
          </w:tcPr>
          <w:p w:rsidR="00A669B4" w:rsidRDefault="00A669B4" w:rsidP="00A669B4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Default="00A669B4" w:rsidP="00A669B4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</w:p>
          <w:p w:rsidR="00A669B4" w:rsidRPr="00A36AE9" w:rsidRDefault="00A669B4" w:rsidP="00A669B4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A36AE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(Obligatorio</w:t>
            </w:r>
            <w:r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 xml:space="preserve"> firma electrónica</w:t>
            </w:r>
            <w:r w:rsidRPr="00A36AE9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)</w:t>
            </w:r>
          </w:p>
          <w:p w:rsidR="0084425E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19389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  <w:p w:rsidR="0084425E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84425E" w:rsidRPr="0019389D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84425E" w:rsidRPr="0019389D" w:rsidTr="00545A78">
        <w:trPr>
          <w:trHeight w:val="235"/>
        </w:trPr>
        <w:tc>
          <w:tcPr>
            <w:tcW w:w="6105" w:type="dxa"/>
            <w:shd w:val="clear" w:color="auto" w:fill="auto"/>
            <w:vAlign w:val="center"/>
            <w:hideMark/>
          </w:tcPr>
          <w:p w:rsidR="00AA175D" w:rsidRDefault="00AA175D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EC"/>
              </w:rPr>
              <w:t>Nombres y Apellidos</w:t>
            </w:r>
          </w:p>
          <w:p w:rsidR="0084425E" w:rsidRPr="0019389D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E2160F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Rector</w:t>
            </w:r>
            <w:r w:rsidR="00AA175D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 </w:t>
            </w:r>
            <w:r w:rsidRPr="00E2160F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/</w:t>
            </w:r>
            <w:r w:rsidR="00AA175D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 </w:t>
            </w:r>
            <w:r w:rsidRPr="00E2160F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irector Administrativo</w:t>
            </w:r>
          </w:p>
          <w:p w:rsidR="0084425E" w:rsidRPr="0019389D" w:rsidRDefault="0084425E" w:rsidP="0084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AA175D" w:rsidRDefault="00AA175D" w:rsidP="00A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EC"/>
              </w:rPr>
              <w:t>Nombres y Apellidos</w:t>
            </w:r>
            <w:r w:rsidR="0084425E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 </w:t>
            </w:r>
          </w:p>
          <w:p w:rsidR="00AA175D" w:rsidRPr="00AA175D" w:rsidRDefault="00AA175D" w:rsidP="00AA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 xml:space="preserve">Subdirector/a </w:t>
            </w:r>
            <w:r w:rsidR="0084425E">
              <w:rPr>
                <w:rFonts w:ascii="Times New Roman" w:eastAsia="Times New Roman" w:hAnsi="Times New Roman" w:cs="Times New Roman"/>
                <w:color w:val="FF0000"/>
                <w:lang w:eastAsia="es-EC"/>
              </w:rPr>
              <w:t>Almacén Universitario</w:t>
            </w:r>
          </w:p>
          <w:p w:rsidR="0084425E" w:rsidRPr="0019389D" w:rsidRDefault="0084425E" w:rsidP="008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19389D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</w:tbl>
    <w:p w:rsidR="00A669B4" w:rsidRDefault="00A669B4" w:rsidP="00A669B4">
      <w:pPr>
        <w:rPr>
          <w:color w:val="5B9BD5" w:themeColor="accent1"/>
          <w:sz w:val="16"/>
          <w:szCs w:val="16"/>
        </w:rPr>
      </w:pPr>
      <w:bookmarkStart w:id="2" w:name="_Hlk35510786"/>
    </w:p>
    <w:p w:rsidR="00A669B4" w:rsidRDefault="00A669B4">
      <w:pPr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br w:type="page"/>
      </w:r>
    </w:p>
    <w:p w:rsidR="00A669B4" w:rsidRPr="00DE5B10" w:rsidRDefault="00A669B4" w:rsidP="00A669B4">
      <w:pPr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lastRenderedPageBreak/>
        <w:t xml:space="preserve">Versión 2021-UNL-1.0 - </w:t>
      </w:r>
      <w:r w:rsidRPr="00DE5B10">
        <w:rPr>
          <w:color w:val="5B9BD5" w:themeColor="accent1"/>
          <w:sz w:val="16"/>
          <w:szCs w:val="16"/>
        </w:rPr>
        <w:t>2021-03-2</w:t>
      </w:r>
      <w:r>
        <w:rPr>
          <w:color w:val="5B9BD5" w:themeColor="accent1"/>
          <w:sz w:val="16"/>
          <w:szCs w:val="16"/>
        </w:rPr>
        <w:t>4</w:t>
      </w:r>
    </w:p>
    <w:p w:rsidR="00A669B4" w:rsidRDefault="00A669B4" w:rsidP="00A669B4">
      <w:pPr>
        <w:rPr>
          <w:color w:val="5B9BD5" w:themeColor="accent1"/>
          <w:sz w:val="16"/>
          <w:szCs w:val="16"/>
        </w:rPr>
      </w:pPr>
    </w:p>
    <w:p w:rsidR="00A669B4" w:rsidRDefault="00A669B4" w:rsidP="00A669B4">
      <w:pPr>
        <w:rPr>
          <w:b/>
          <w:color w:val="5B9BD5" w:themeColor="accent1"/>
          <w:sz w:val="16"/>
          <w:szCs w:val="16"/>
        </w:rPr>
      </w:pPr>
      <w:r w:rsidRPr="00B97651">
        <w:rPr>
          <w:b/>
          <w:color w:val="5B9BD5" w:themeColor="accent1"/>
          <w:sz w:val="16"/>
          <w:szCs w:val="16"/>
        </w:rPr>
        <w:t>Elabora</w:t>
      </w:r>
      <w:r>
        <w:rPr>
          <w:b/>
          <w:color w:val="5B9BD5" w:themeColor="accent1"/>
          <w:sz w:val="16"/>
          <w:szCs w:val="16"/>
        </w:rPr>
        <w:t>do por: Eco. Franklin David Camacho Calva. Mgs.</w:t>
      </w:r>
    </w:p>
    <w:p w:rsidR="00A669B4" w:rsidRDefault="00A669B4" w:rsidP="00A669B4">
      <w:pPr>
        <w:rPr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 xml:space="preserve">DIRECTOR DE LA </w:t>
      </w:r>
      <w:r w:rsidRPr="00B97651">
        <w:rPr>
          <w:b/>
          <w:color w:val="5B9BD5" w:themeColor="accent1"/>
          <w:sz w:val="16"/>
          <w:szCs w:val="16"/>
        </w:rPr>
        <w:t>UNIDAD DE CONTRATACIÓN PÚBLICA.</w:t>
      </w:r>
      <w:r>
        <w:rPr>
          <w:b/>
          <w:color w:val="5B9BD5" w:themeColor="accent1"/>
          <w:sz w:val="16"/>
          <w:szCs w:val="16"/>
        </w:rPr>
        <w:t xml:space="preserve"> </w:t>
      </w:r>
    </w:p>
    <w:p w:rsidR="00A669B4" w:rsidRDefault="00A669B4" w:rsidP="00A669B4">
      <w:pPr>
        <w:jc w:val="both"/>
        <w:rPr>
          <w:color w:val="5B9BD5" w:themeColor="accent1"/>
          <w:sz w:val="16"/>
          <w:szCs w:val="16"/>
        </w:rPr>
      </w:pPr>
      <w:bookmarkStart w:id="3" w:name="_GoBack"/>
      <w:bookmarkEnd w:id="3"/>
      <w:r>
        <w:rPr>
          <w:color w:val="5B9BD5" w:themeColor="accent1"/>
          <w:sz w:val="16"/>
          <w:szCs w:val="16"/>
        </w:rPr>
        <w:t xml:space="preserve">El presente documento es un bosquejo general de las consideraciones generales y específicas tomando como base las especificaciones técnicas establecidas por cada una de las áreas requirentes, el mismo podrá estar sujeto a cambios,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pública. </w:t>
      </w:r>
    </w:p>
    <w:p w:rsidR="00A669B4" w:rsidRPr="00220BAE" w:rsidRDefault="00A669B4" w:rsidP="00A669B4">
      <w:pPr>
        <w:rPr>
          <w:rFonts w:ascii="Calibri" w:eastAsia="Times New Roman" w:hAnsi="Calibri" w:cs="Calibri"/>
          <w:lang w:eastAsia="es-EC"/>
        </w:rPr>
      </w:pPr>
      <w:r>
        <w:rPr>
          <w:b/>
          <w:color w:val="5B9BD5" w:themeColor="accent1"/>
          <w:sz w:val="16"/>
          <w:szCs w:val="16"/>
        </w:rPr>
        <w:t>Será de absoluta responsabilidad de la unidad requirente su elaboración observando los lineamientos técnicos y normativos señalados en el presente documento y los que la ley en función de la complejidad y objeto de contratación determinen y no se hayan plasmado en el presente documento.</w:t>
      </w:r>
    </w:p>
    <w:bookmarkEnd w:id="2"/>
    <w:p w:rsidR="009D2767" w:rsidRDefault="009D2767" w:rsidP="00C84390">
      <w:pPr>
        <w:rPr>
          <w:rFonts w:ascii="Calibri" w:eastAsia="Times New Roman" w:hAnsi="Calibri" w:cs="Calibri"/>
          <w:lang w:eastAsia="es-EC"/>
        </w:rPr>
      </w:pPr>
    </w:p>
    <w:sectPr w:rsidR="009D2767" w:rsidSect="00124E02">
      <w:footerReference w:type="default" r:id="rId9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A3" w:rsidRDefault="008573A3" w:rsidP="005272E4">
      <w:pPr>
        <w:spacing w:after="0" w:line="240" w:lineRule="auto"/>
      </w:pPr>
      <w:r>
        <w:separator/>
      </w:r>
    </w:p>
  </w:endnote>
  <w:endnote w:type="continuationSeparator" w:id="0">
    <w:p w:rsidR="008573A3" w:rsidRDefault="008573A3" w:rsidP="0052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574289"/>
      <w:docPartObj>
        <w:docPartGallery w:val="Page Numbers (Bottom of Page)"/>
        <w:docPartUnique/>
      </w:docPartObj>
    </w:sdtPr>
    <w:sdtEndPr/>
    <w:sdtContent>
      <w:p w:rsidR="003215F4" w:rsidRDefault="003215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3215F4" w:rsidRDefault="00321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A3" w:rsidRDefault="008573A3" w:rsidP="005272E4">
      <w:pPr>
        <w:spacing w:after="0" w:line="240" w:lineRule="auto"/>
      </w:pPr>
      <w:r>
        <w:separator/>
      </w:r>
    </w:p>
  </w:footnote>
  <w:footnote w:type="continuationSeparator" w:id="0">
    <w:p w:rsidR="008573A3" w:rsidRDefault="008573A3" w:rsidP="0052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514"/>
    <w:multiLevelType w:val="hybridMultilevel"/>
    <w:tmpl w:val="B42EE436"/>
    <w:lvl w:ilvl="0" w:tplc="2AD22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072A8"/>
    <w:multiLevelType w:val="hybridMultilevel"/>
    <w:tmpl w:val="EAFA3344"/>
    <w:lvl w:ilvl="0" w:tplc="E8EEB7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4CBB"/>
    <w:multiLevelType w:val="hybridMultilevel"/>
    <w:tmpl w:val="DD3AAA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76A44"/>
    <w:multiLevelType w:val="hybridMultilevel"/>
    <w:tmpl w:val="0262B50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D9A720C"/>
    <w:multiLevelType w:val="hybridMultilevel"/>
    <w:tmpl w:val="500645CE"/>
    <w:lvl w:ilvl="0" w:tplc="1E3895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0B1F"/>
    <w:multiLevelType w:val="hybridMultilevel"/>
    <w:tmpl w:val="A674307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8"/>
    <w:rsid w:val="000003CB"/>
    <w:rsid w:val="00000C5D"/>
    <w:rsid w:val="00017D6B"/>
    <w:rsid w:val="00033FAA"/>
    <w:rsid w:val="0003739A"/>
    <w:rsid w:val="00043E4B"/>
    <w:rsid w:val="000701FD"/>
    <w:rsid w:val="0007506F"/>
    <w:rsid w:val="00076090"/>
    <w:rsid w:val="000A7964"/>
    <w:rsid w:val="000A7FC1"/>
    <w:rsid w:val="000B7CC7"/>
    <w:rsid w:val="000C3160"/>
    <w:rsid w:val="000D0397"/>
    <w:rsid w:val="000D4DCC"/>
    <w:rsid w:val="000D6485"/>
    <w:rsid w:val="000F7B1E"/>
    <w:rsid w:val="00124E02"/>
    <w:rsid w:val="0013098B"/>
    <w:rsid w:val="00137DFB"/>
    <w:rsid w:val="001445D0"/>
    <w:rsid w:val="001607B7"/>
    <w:rsid w:val="0016258A"/>
    <w:rsid w:val="0016452A"/>
    <w:rsid w:val="00167564"/>
    <w:rsid w:val="00177375"/>
    <w:rsid w:val="00186B6C"/>
    <w:rsid w:val="00187E61"/>
    <w:rsid w:val="0019389D"/>
    <w:rsid w:val="001971CF"/>
    <w:rsid w:val="001A179E"/>
    <w:rsid w:val="001A6060"/>
    <w:rsid w:val="001B054C"/>
    <w:rsid w:val="001B0F9F"/>
    <w:rsid w:val="001C5D7D"/>
    <w:rsid w:val="001E74AE"/>
    <w:rsid w:val="00204D09"/>
    <w:rsid w:val="00213EA8"/>
    <w:rsid w:val="00216CF4"/>
    <w:rsid w:val="00236B4D"/>
    <w:rsid w:val="0024649E"/>
    <w:rsid w:val="00265C2B"/>
    <w:rsid w:val="00267675"/>
    <w:rsid w:val="00270ADD"/>
    <w:rsid w:val="00273534"/>
    <w:rsid w:val="002A15BC"/>
    <w:rsid w:val="002E0A19"/>
    <w:rsid w:val="002F017C"/>
    <w:rsid w:val="002F728D"/>
    <w:rsid w:val="00301462"/>
    <w:rsid w:val="003133DB"/>
    <w:rsid w:val="003215F4"/>
    <w:rsid w:val="0034673C"/>
    <w:rsid w:val="00346C77"/>
    <w:rsid w:val="00352589"/>
    <w:rsid w:val="00362B61"/>
    <w:rsid w:val="00370007"/>
    <w:rsid w:val="00373638"/>
    <w:rsid w:val="0037559B"/>
    <w:rsid w:val="003857E1"/>
    <w:rsid w:val="00386654"/>
    <w:rsid w:val="003925AC"/>
    <w:rsid w:val="00393E19"/>
    <w:rsid w:val="003A430E"/>
    <w:rsid w:val="003A4811"/>
    <w:rsid w:val="003B345F"/>
    <w:rsid w:val="003B7FA0"/>
    <w:rsid w:val="003C6A8D"/>
    <w:rsid w:val="003E4D58"/>
    <w:rsid w:val="00400674"/>
    <w:rsid w:val="00403AD2"/>
    <w:rsid w:val="00406B4F"/>
    <w:rsid w:val="00412E35"/>
    <w:rsid w:val="00416EEE"/>
    <w:rsid w:val="00431AC0"/>
    <w:rsid w:val="004341AA"/>
    <w:rsid w:val="00437008"/>
    <w:rsid w:val="00444F67"/>
    <w:rsid w:val="00457AD9"/>
    <w:rsid w:val="00470BA6"/>
    <w:rsid w:val="00477064"/>
    <w:rsid w:val="0047795D"/>
    <w:rsid w:val="00496B0A"/>
    <w:rsid w:val="004B1CF6"/>
    <w:rsid w:val="004B27DC"/>
    <w:rsid w:val="004D37D7"/>
    <w:rsid w:val="004D7E99"/>
    <w:rsid w:val="004E1886"/>
    <w:rsid w:val="00511FE0"/>
    <w:rsid w:val="00515172"/>
    <w:rsid w:val="005272E4"/>
    <w:rsid w:val="00531FFA"/>
    <w:rsid w:val="00534ECC"/>
    <w:rsid w:val="00541BCA"/>
    <w:rsid w:val="00545A78"/>
    <w:rsid w:val="00555521"/>
    <w:rsid w:val="00560A2A"/>
    <w:rsid w:val="00565155"/>
    <w:rsid w:val="00565BB0"/>
    <w:rsid w:val="0056700B"/>
    <w:rsid w:val="0057426E"/>
    <w:rsid w:val="005B19C7"/>
    <w:rsid w:val="005B2185"/>
    <w:rsid w:val="005B2B96"/>
    <w:rsid w:val="005B56D7"/>
    <w:rsid w:val="005B627D"/>
    <w:rsid w:val="005D0B2C"/>
    <w:rsid w:val="005D342B"/>
    <w:rsid w:val="005E4697"/>
    <w:rsid w:val="005F0C27"/>
    <w:rsid w:val="005F4736"/>
    <w:rsid w:val="0060213C"/>
    <w:rsid w:val="0060442C"/>
    <w:rsid w:val="006176B7"/>
    <w:rsid w:val="00622562"/>
    <w:rsid w:val="00636852"/>
    <w:rsid w:val="006633BC"/>
    <w:rsid w:val="006848A1"/>
    <w:rsid w:val="00696266"/>
    <w:rsid w:val="006A1154"/>
    <w:rsid w:val="006C39F1"/>
    <w:rsid w:val="006D157B"/>
    <w:rsid w:val="006F7569"/>
    <w:rsid w:val="00703CCF"/>
    <w:rsid w:val="00704791"/>
    <w:rsid w:val="007058D5"/>
    <w:rsid w:val="00712DEC"/>
    <w:rsid w:val="00724511"/>
    <w:rsid w:val="00733904"/>
    <w:rsid w:val="0073476F"/>
    <w:rsid w:val="00754410"/>
    <w:rsid w:val="00756E94"/>
    <w:rsid w:val="007879D2"/>
    <w:rsid w:val="00791008"/>
    <w:rsid w:val="007B2F78"/>
    <w:rsid w:val="007D0DC3"/>
    <w:rsid w:val="007D29D5"/>
    <w:rsid w:val="007D7EED"/>
    <w:rsid w:val="00805268"/>
    <w:rsid w:val="00815CC2"/>
    <w:rsid w:val="00820FA9"/>
    <w:rsid w:val="00821549"/>
    <w:rsid w:val="0084425E"/>
    <w:rsid w:val="00854EF9"/>
    <w:rsid w:val="0085598B"/>
    <w:rsid w:val="008573A3"/>
    <w:rsid w:val="00857A35"/>
    <w:rsid w:val="00862200"/>
    <w:rsid w:val="0087258E"/>
    <w:rsid w:val="00880077"/>
    <w:rsid w:val="00884A1D"/>
    <w:rsid w:val="008850A1"/>
    <w:rsid w:val="00896BEB"/>
    <w:rsid w:val="00896DC8"/>
    <w:rsid w:val="008A7132"/>
    <w:rsid w:val="008B0063"/>
    <w:rsid w:val="008B42B5"/>
    <w:rsid w:val="008C2BE9"/>
    <w:rsid w:val="008C6CE0"/>
    <w:rsid w:val="008D1AE3"/>
    <w:rsid w:val="008D1DF8"/>
    <w:rsid w:val="008D3BA4"/>
    <w:rsid w:val="008E002A"/>
    <w:rsid w:val="008E6045"/>
    <w:rsid w:val="0090176E"/>
    <w:rsid w:val="00901948"/>
    <w:rsid w:val="00907498"/>
    <w:rsid w:val="009146E9"/>
    <w:rsid w:val="009203CB"/>
    <w:rsid w:val="00934AD9"/>
    <w:rsid w:val="00940CB9"/>
    <w:rsid w:val="009464D8"/>
    <w:rsid w:val="00947CF3"/>
    <w:rsid w:val="00953498"/>
    <w:rsid w:val="00963C81"/>
    <w:rsid w:val="009653B5"/>
    <w:rsid w:val="009721F8"/>
    <w:rsid w:val="00976A20"/>
    <w:rsid w:val="00981E72"/>
    <w:rsid w:val="00994A5E"/>
    <w:rsid w:val="009B4CAD"/>
    <w:rsid w:val="009D2767"/>
    <w:rsid w:val="009E161A"/>
    <w:rsid w:val="009E472C"/>
    <w:rsid w:val="009E5863"/>
    <w:rsid w:val="00A009F2"/>
    <w:rsid w:val="00A057D4"/>
    <w:rsid w:val="00A11255"/>
    <w:rsid w:val="00A2076D"/>
    <w:rsid w:val="00A20A6F"/>
    <w:rsid w:val="00A240D6"/>
    <w:rsid w:val="00A2551B"/>
    <w:rsid w:val="00A43389"/>
    <w:rsid w:val="00A5142B"/>
    <w:rsid w:val="00A54883"/>
    <w:rsid w:val="00A56035"/>
    <w:rsid w:val="00A669B4"/>
    <w:rsid w:val="00A90BC7"/>
    <w:rsid w:val="00A94E12"/>
    <w:rsid w:val="00AA175D"/>
    <w:rsid w:val="00AB05B8"/>
    <w:rsid w:val="00AB0832"/>
    <w:rsid w:val="00AB39CC"/>
    <w:rsid w:val="00AB78FD"/>
    <w:rsid w:val="00AC2886"/>
    <w:rsid w:val="00AC40E0"/>
    <w:rsid w:val="00AC4B17"/>
    <w:rsid w:val="00AC6B07"/>
    <w:rsid w:val="00AC7DE8"/>
    <w:rsid w:val="00B149D7"/>
    <w:rsid w:val="00B404DD"/>
    <w:rsid w:val="00B50128"/>
    <w:rsid w:val="00B616FB"/>
    <w:rsid w:val="00B6442F"/>
    <w:rsid w:val="00B65527"/>
    <w:rsid w:val="00B85BF0"/>
    <w:rsid w:val="00B87C17"/>
    <w:rsid w:val="00B97651"/>
    <w:rsid w:val="00BA074D"/>
    <w:rsid w:val="00BA6A11"/>
    <w:rsid w:val="00BB09C0"/>
    <w:rsid w:val="00BB2A0F"/>
    <w:rsid w:val="00BC5ECB"/>
    <w:rsid w:val="00BD13FC"/>
    <w:rsid w:val="00BD4AF7"/>
    <w:rsid w:val="00BE20DC"/>
    <w:rsid w:val="00BE5281"/>
    <w:rsid w:val="00C05A8A"/>
    <w:rsid w:val="00C15E8A"/>
    <w:rsid w:val="00C23C92"/>
    <w:rsid w:val="00C32763"/>
    <w:rsid w:val="00C34452"/>
    <w:rsid w:val="00C4153B"/>
    <w:rsid w:val="00C50693"/>
    <w:rsid w:val="00C63F1D"/>
    <w:rsid w:val="00C80C2B"/>
    <w:rsid w:val="00C84390"/>
    <w:rsid w:val="00C87753"/>
    <w:rsid w:val="00CA2A19"/>
    <w:rsid w:val="00CB38D9"/>
    <w:rsid w:val="00CC31FE"/>
    <w:rsid w:val="00CC7D09"/>
    <w:rsid w:val="00CF2775"/>
    <w:rsid w:val="00CF36DA"/>
    <w:rsid w:val="00D04E73"/>
    <w:rsid w:val="00D400B2"/>
    <w:rsid w:val="00D42164"/>
    <w:rsid w:val="00D50F5F"/>
    <w:rsid w:val="00D57D03"/>
    <w:rsid w:val="00D763FD"/>
    <w:rsid w:val="00D7780D"/>
    <w:rsid w:val="00D94C75"/>
    <w:rsid w:val="00DA30FA"/>
    <w:rsid w:val="00DA639F"/>
    <w:rsid w:val="00DB622C"/>
    <w:rsid w:val="00DB6F6B"/>
    <w:rsid w:val="00DD3B23"/>
    <w:rsid w:val="00DF074C"/>
    <w:rsid w:val="00DF2A9B"/>
    <w:rsid w:val="00E00B08"/>
    <w:rsid w:val="00E03593"/>
    <w:rsid w:val="00E13FB0"/>
    <w:rsid w:val="00E14165"/>
    <w:rsid w:val="00E16BF5"/>
    <w:rsid w:val="00E178F0"/>
    <w:rsid w:val="00E2160F"/>
    <w:rsid w:val="00E55688"/>
    <w:rsid w:val="00E861E8"/>
    <w:rsid w:val="00E86E1E"/>
    <w:rsid w:val="00E901EC"/>
    <w:rsid w:val="00E9312C"/>
    <w:rsid w:val="00E97417"/>
    <w:rsid w:val="00EA5FC4"/>
    <w:rsid w:val="00EB3049"/>
    <w:rsid w:val="00ED381E"/>
    <w:rsid w:val="00EF220E"/>
    <w:rsid w:val="00EF7504"/>
    <w:rsid w:val="00F06CC0"/>
    <w:rsid w:val="00F15A53"/>
    <w:rsid w:val="00F25385"/>
    <w:rsid w:val="00F26C54"/>
    <w:rsid w:val="00F30997"/>
    <w:rsid w:val="00F30F35"/>
    <w:rsid w:val="00F3349F"/>
    <w:rsid w:val="00F4587B"/>
    <w:rsid w:val="00F613FB"/>
    <w:rsid w:val="00F61D16"/>
    <w:rsid w:val="00F63798"/>
    <w:rsid w:val="00F67C5A"/>
    <w:rsid w:val="00F73EE2"/>
    <w:rsid w:val="00F80500"/>
    <w:rsid w:val="00F91986"/>
    <w:rsid w:val="00FA3AE7"/>
    <w:rsid w:val="00FC0355"/>
    <w:rsid w:val="00FC2F6B"/>
    <w:rsid w:val="00FD3110"/>
    <w:rsid w:val="00FD7EA3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F404"/>
  <w15:docId w15:val="{E0507D36-F344-46B2-98DD-AE9208DD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796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,Titulo 1,Párrafo 3"/>
    <w:basedOn w:val="Normal"/>
    <w:link w:val="PrrafodelistaCar"/>
    <w:uiPriority w:val="34"/>
    <w:qFormat/>
    <w:rsid w:val="00B501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3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C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C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C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796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2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2E4"/>
  </w:style>
  <w:style w:type="paragraph" w:styleId="Piedepgina">
    <w:name w:val="footer"/>
    <w:basedOn w:val="Normal"/>
    <w:link w:val="PiedepginaCar"/>
    <w:uiPriority w:val="99"/>
    <w:unhideWhenUsed/>
    <w:rsid w:val="0052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2E4"/>
  </w:style>
  <w:style w:type="character" w:customStyle="1" w:styleId="PrrafodelistaCar">
    <w:name w:val="Párrafo de lista Car"/>
    <w:aliases w:val="TIT 2 IND Car,Capítulo Car,Texto Car,List Paragraph1 Car,Titulo 1 Car,Párrafo 3 Car"/>
    <w:link w:val="Prrafodelista"/>
    <w:uiPriority w:val="34"/>
    <w:rsid w:val="00A6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68AD-1CDA-4B24-AE94-49CF895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castro celi</dc:creator>
  <cp:lastModifiedBy>franklin.camacho</cp:lastModifiedBy>
  <cp:revision>42</cp:revision>
  <cp:lastPrinted>2018-10-11T13:16:00Z</cp:lastPrinted>
  <dcterms:created xsi:type="dcterms:W3CDTF">2018-10-11T20:21:00Z</dcterms:created>
  <dcterms:modified xsi:type="dcterms:W3CDTF">2021-03-24T18:16:00Z</dcterms:modified>
</cp:coreProperties>
</file>