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4"/>
        <w:jc w:val="center"/>
        <w:rPr>
          <w:rFonts w:ascii="Arial" w:hAnsi="Arial" w:eastAsia="Times New Roman" w:cs="Arial"/>
          <w:b/>
          <w:bCs/>
          <w:sz w:val="22"/>
          <w:szCs w:val="22"/>
          <w:lang w:val="es-EC"/>
        </w:rPr>
      </w:pPr>
      <w:r>
        <w:rPr>
          <w:rFonts w:ascii="Arial" w:hAnsi="Arial" w:eastAsia="Times New Roman" w:cs="Arial"/>
          <w:b/>
          <w:bCs/>
          <w:spacing w:val="-2"/>
          <w:sz w:val="22"/>
          <w:szCs w:val="22"/>
          <w:lang w:val="es-EC"/>
        </w:rPr>
        <w:t xml:space="preserve"> ESTUDIO DE MERCADO PARA LA DETERMINACION DEL CÁLCULO</w:t>
      </w:r>
      <w:r>
        <w:rPr>
          <w:rFonts w:ascii="Arial" w:hAnsi="Arial" w:eastAsia="Times New Roman" w:cs="Arial"/>
          <w:b/>
          <w:bCs/>
          <w:sz w:val="22"/>
          <w:szCs w:val="22"/>
          <w:lang w:val="es-EC"/>
        </w:rPr>
        <w:t xml:space="preserve"> </w:t>
      </w:r>
    </w:p>
    <w:p>
      <w:pPr>
        <w:spacing w:before="64"/>
        <w:jc w:val="center"/>
        <w:rPr>
          <w:rFonts w:ascii="Arial" w:hAnsi="Arial" w:eastAsia="Times New Roman" w:cs="Arial"/>
          <w:b/>
          <w:bCs/>
          <w:spacing w:val="-2"/>
          <w:sz w:val="22"/>
          <w:szCs w:val="22"/>
          <w:lang w:val="es-EC"/>
        </w:rPr>
      </w:pPr>
      <w:r>
        <w:rPr>
          <w:rFonts w:ascii="Arial" w:hAnsi="Arial" w:eastAsia="Times New Roman" w:cs="Arial"/>
          <w:b/>
          <w:bCs/>
          <w:spacing w:val="-1"/>
          <w:sz w:val="22"/>
          <w:szCs w:val="22"/>
          <w:lang w:val="es-EC"/>
        </w:rPr>
        <w:t>DEL</w:t>
      </w:r>
      <w:r>
        <w:rPr>
          <w:rFonts w:ascii="Arial" w:hAnsi="Arial" w:eastAsia="Times New Roman" w:cs="Arial"/>
          <w:b/>
          <w:bCs/>
          <w:sz w:val="22"/>
          <w:szCs w:val="22"/>
          <w:lang w:val="es-EC"/>
        </w:rPr>
        <w:t xml:space="preserve"> </w:t>
      </w:r>
      <w:r>
        <w:rPr>
          <w:rFonts w:ascii="Arial" w:hAnsi="Arial" w:eastAsia="Times New Roman" w:cs="Arial"/>
          <w:b/>
          <w:bCs/>
          <w:spacing w:val="-1"/>
          <w:sz w:val="22"/>
          <w:szCs w:val="22"/>
          <w:lang w:val="es-EC"/>
        </w:rPr>
        <w:t xml:space="preserve">PRESUPUESTO </w:t>
      </w:r>
      <w:r>
        <w:rPr>
          <w:rFonts w:ascii="Arial" w:hAnsi="Arial" w:eastAsia="Times New Roman" w:cs="Arial"/>
          <w:b/>
          <w:bCs/>
          <w:spacing w:val="-2"/>
          <w:sz w:val="22"/>
          <w:szCs w:val="22"/>
          <w:lang w:val="es-EC"/>
        </w:rPr>
        <w:t>REFERENCIAL</w:t>
      </w:r>
    </w:p>
    <w:p>
      <w:pPr>
        <w:spacing w:before="64"/>
        <w:jc w:val="center"/>
        <w:rPr>
          <w:rFonts w:ascii="Arial" w:hAnsi="Arial" w:eastAsia="Times New Roman" w:cs="Arial"/>
          <w:b/>
          <w:bCs/>
          <w:spacing w:val="-2"/>
          <w:sz w:val="22"/>
          <w:szCs w:val="22"/>
          <w:lang w:val="es-EC"/>
        </w:rPr>
      </w:pPr>
    </w:p>
    <w:p>
      <w:pPr>
        <w:spacing w:before="69"/>
        <w:jc w:val="center"/>
        <w:rPr>
          <w:rFonts w:ascii="Arial" w:hAnsi="Arial" w:eastAsia="Times New Roman" w:cs="Arial"/>
          <w:b/>
          <w:bCs/>
          <w:spacing w:val="-2"/>
          <w:sz w:val="22"/>
          <w:szCs w:val="22"/>
          <w:lang w:val="es-EC"/>
        </w:rPr>
      </w:pPr>
      <w:r>
        <w:rPr>
          <w:rFonts w:ascii="Arial" w:hAnsi="Arial" w:eastAsia="Times New Roman" w:cs="Arial"/>
          <w:b/>
          <w:bCs/>
          <w:spacing w:val="-2"/>
          <w:sz w:val="22"/>
          <w:szCs w:val="22"/>
          <w:lang w:val="es-EC"/>
        </w:rPr>
        <w:t>Acorde a la Resolución No. RE- SERCOP-2016-0000072 y actualizado según resoluciones: SERCOP-088-2018 y SERCOP-089-2018.</w:t>
      </w:r>
    </w:p>
    <w:p>
      <w:pPr>
        <w:pStyle w:val="87"/>
        <w:numPr>
          <w:ilvl w:val="0"/>
          <w:numId w:val="2"/>
        </w:numPr>
        <w:tabs>
          <w:tab w:val="left" w:pos="529"/>
        </w:tabs>
        <w:ind w:left="529"/>
        <w:rPr>
          <w:rFonts w:ascii="Arial" w:hAnsi="Arial" w:cs="Arial"/>
          <w:sz w:val="22"/>
          <w:szCs w:val="22"/>
        </w:rPr>
      </w:pPr>
      <w:r>
        <w:rPr>
          <w:rFonts w:ascii="Arial" w:hAnsi="Arial" w:cs="Arial"/>
          <w:sz w:val="22"/>
          <w:szCs w:val="22"/>
        </w:rPr>
        <w:t>OBJETO DE LA CONTRATACIÓN UNL/2020</w:t>
      </w:r>
    </w:p>
    <w:p>
      <w:pPr>
        <w:pStyle w:val="9"/>
        <w:spacing w:before="69"/>
        <w:ind w:right="78"/>
        <w:jc w:val="center"/>
        <w:rPr>
          <w:rFonts w:eastAsia="Times New Roman"/>
          <w:sz w:val="20"/>
          <w:szCs w:val="20"/>
          <w:lang w:eastAsia="es-ES"/>
        </w:rPr>
      </w:pPr>
      <w:r>
        <w:rPr>
          <w:rFonts w:eastAsia="Times New Roman"/>
          <w:sz w:val="20"/>
          <w:szCs w:val="20"/>
          <w:lang w:eastAsia="es-ES"/>
        </w:rPr>
        <w:t>“</w:t>
      </w:r>
      <w:r>
        <w:rPr>
          <w:i/>
          <w:color w:val="808080"/>
          <w:sz w:val="20"/>
          <w:szCs w:val="20"/>
        </w:rPr>
        <w:t>CONTRATACION DE PRODUCTOS Y SERVICIOS COMUNICACIONALES PARA DIFUNFIR LAS ACCIONES DE LA UNIVERSIDAD MACIONAL DE LOJA</w:t>
      </w:r>
      <w:r>
        <w:rPr>
          <w:rFonts w:eastAsia="Times New Roman"/>
          <w:sz w:val="20"/>
          <w:szCs w:val="20"/>
          <w:lang w:eastAsia="es-ES"/>
        </w:rPr>
        <w:t>”</w:t>
      </w:r>
    </w:p>
    <w:p>
      <w:pPr>
        <w:widowControl w:val="0"/>
        <w:autoSpaceDE w:val="0"/>
        <w:autoSpaceDN w:val="0"/>
        <w:adjustRightInd w:val="0"/>
        <w:spacing w:line="276" w:lineRule="auto"/>
        <w:jc w:val="center"/>
        <w:rPr>
          <w:rFonts w:ascii="Times New Roman" w:hAnsi="Times New Roman" w:eastAsia="Times New Roman" w:cs="Times New Roman"/>
          <w:b/>
          <w:sz w:val="20"/>
          <w:szCs w:val="20"/>
          <w:lang w:val="es-ES" w:eastAsia="es-ES"/>
        </w:rPr>
      </w:pPr>
    </w:p>
    <w:p>
      <w:pPr>
        <w:pBdr>
          <w:top w:val="single" w:color="auto" w:sz="4" w:space="0"/>
          <w:left w:val="single" w:color="auto" w:sz="4" w:space="1"/>
          <w:bottom w:val="single" w:color="auto" w:sz="4" w:space="1"/>
          <w:right w:val="single" w:color="auto" w:sz="4" w:space="0"/>
        </w:pBdr>
        <w:shd w:val="clear" w:color="auto" w:fill="7F7F7F" w:themeFill="background1" w:themeFillShade="80"/>
        <w:tabs>
          <w:tab w:val="left" w:pos="5768"/>
          <w:tab w:val="left" w:pos="6237"/>
          <w:tab w:val="left" w:pos="6488"/>
        </w:tabs>
        <w:rPr>
          <w:rFonts w:ascii="Times New Roman" w:hAnsi="Times New Roman" w:eastAsia="Times New Roman" w:cs="Times New Roman"/>
          <w:b/>
          <w:color w:val="FFFFFF"/>
          <w:sz w:val="20"/>
          <w:szCs w:val="20"/>
          <w:lang w:val="es-ES" w:eastAsia="es-ES"/>
        </w:rPr>
      </w:pPr>
      <w:r>
        <w:rPr>
          <w:rFonts w:ascii="Times New Roman" w:hAnsi="Times New Roman" w:eastAsia="Times New Roman" w:cs="Times New Roman"/>
          <w:b/>
          <w:color w:val="FFFFFF"/>
          <w:sz w:val="20"/>
          <w:szCs w:val="20"/>
          <w:lang w:val="es-ES" w:eastAsia="es-ES"/>
        </w:rPr>
        <w:t>a)  BASE NORMATIVA</w:t>
      </w:r>
    </w:p>
    <w:p>
      <w:pPr>
        <w:widowControl w:val="0"/>
        <w:autoSpaceDE w:val="0"/>
        <w:autoSpaceDN w:val="0"/>
        <w:adjustRightInd w:val="0"/>
        <w:jc w:val="both"/>
        <w:rPr>
          <w:rFonts w:ascii="Times New Roman" w:hAnsi="Times New Roman" w:eastAsia="Times New Roman" w:cs="Times New Roman"/>
          <w:b/>
          <w:sz w:val="20"/>
          <w:szCs w:val="20"/>
          <w:lang w:val="es-ES" w:eastAsia="es-ES"/>
        </w:rPr>
      </w:pPr>
    </w:p>
    <w:p>
      <w:pPr>
        <w:pStyle w:val="9"/>
        <w:spacing w:before="69"/>
        <w:ind w:right="78"/>
        <w:jc w:val="both"/>
        <w:rPr>
          <w:rFonts w:eastAsia="Times New Roman"/>
          <w:kern w:val="0"/>
          <w:sz w:val="20"/>
          <w:szCs w:val="20"/>
          <w:lang w:val="es-ES" w:eastAsia="es-ES"/>
        </w:rPr>
      </w:pPr>
      <w:r>
        <w:rPr>
          <w:rFonts w:eastAsia="Times New Roman"/>
          <w:kern w:val="0"/>
          <w:sz w:val="20"/>
          <w:szCs w:val="20"/>
          <w:lang w:val="es-ES" w:eastAsia="es-ES"/>
        </w:rPr>
        <w:t>El presente estudio de mercado se enmarca en obtener el presupuesto referencial analizando las necesidades de la Institución en relación al costo-beneficio de la contratación y considerando lo señalado en el numeral 2 del artículo 9 de la Codificación de Resoluciones emitidas por SERCOP Resolución SERCOP-072-2016 y sus respectivas reformas, actualizada a la Resolución RE-SERCOP-2018-088 y RE-SERCOP-2018-089.</w:t>
      </w:r>
    </w:p>
    <w:p>
      <w:pPr>
        <w:pStyle w:val="9"/>
        <w:ind w:right="257"/>
        <w:jc w:val="both"/>
        <w:rPr>
          <w:rFonts w:eastAsia="Times New Roman"/>
          <w:kern w:val="0"/>
          <w:sz w:val="20"/>
          <w:szCs w:val="20"/>
          <w:lang w:val="es-ES" w:eastAsia="es-ES"/>
        </w:rPr>
      </w:pPr>
      <w:r>
        <w:rPr>
          <w:rFonts w:eastAsia="Times New Roman"/>
          <w:kern w:val="0"/>
          <w:sz w:val="20"/>
          <w:szCs w:val="20"/>
          <w:lang w:val="es-ES" w:eastAsia="es-ES"/>
        </w:rPr>
        <w:t xml:space="preserve">Para el efecto, se utilizará las siguientes disposiciones legales: </w:t>
      </w:r>
    </w:p>
    <w:p>
      <w:pPr>
        <w:pStyle w:val="9"/>
        <w:ind w:right="257"/>
        <w:jc w:val="both"/>
        <w:rPr>
          <w:rFonts w:eastAsia="Times New Roman"/>
          <w:kern w:val="0"/>
          <w:sz w:val="20"/>
          <w:szCs w:val="20"/>
          <w:lang w:val="es-ES" w:eastAsia="es-ES"/>
        </w:rPr>
      </w:pPr>
    </w:p>
    <w:tbl>
      <w:tblPr>
        <w:tblStyle w:val="7"/>
        <w:tblW w:w="84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670"/>
        <w:gridCol w:w="7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360" w:hRule="atLeast"/>
          <w:jc w:val="center"/>
        </w:trPr>
        <w:tc>
          <w:tcPr>
            <w:tcW w:w="8487" w:type="dxa"/>
            <w:gridSpan w:val="2"/>
            <w:tcBorders>
              <w:top w:val="single" w:color="auto" w:sz="4" w:space="0"/>
              <w:left w:val="single" w:color="auto" w:sz="4" w:space="0"/>
              <w:bottom w:val="single" w:color="auto" w:sz="4" w:space="0"/>
              <w:right w:val="single" w:color="auto" w:sz="4" w:space="0"/>
            </w:tcBorders>
            <w:shd w:val="clear" w:color="auto" w:fill="D6DCE4"/>
            <w:vAlign w:val="center"/>
          </w:tcPr>
          <w:p>
            <w:pPr>
              <w:jc w:val="cente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ASPECTOS LEGALES ESTABLECIDOS EN LA RESOLUCION SERCOP-088-2018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360" w:hRule="atLeast"/>
          <w:jc w:val="center"/>
        </w:trPr>
        <w:tc>
          <w:tcPr>
            <w:tcW w:w="8487" w:type="dxa"/>
            <w:gridSpan w:val="2"/>
            <w:tcBorders>
              <w:top w:val="single" w:color="auto" w:sz="4" w:space="0"/>
              <w:left w:val="single" w:color="auto" w:sz="4" w:space="0"/>
              <w:bottom w:val="single" w:color="auto" w:sz="4" w:space="0"/>
              <w:right w:val="single" w:color="auto" w:sz="4" w:space="0"/>
            </w:tcBorders>
            <w:shd w:val="clear" w:color="auto" w:fill="D6DCE4"/>
            <w:vAlign w:val="center"/>
          </w:tcPr>
          <w:p>
            <w:pPr>
              <w:jc w:val="cente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Consideraciones mínimas estudio de mercado para la definición de presupuesto referencial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266"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1</w:t>
            </w:r>
          </w:p>
        </w:tc>
        <w:tc>
          <w:tcPr>
            <w:tcW w:w="7817" w:type="dxa"/>
            <w:tcBorders>
              <w:top w:val="single" w:color="auto" w:sz="4" w:space="0"/>
              <w:left w:val="single" w:color="auto" w:sz="4" w:space="0"/>
              <w:bottom w:val="single" w:color="auto" w:sz="4" w:space="0"/>
              <w:right w:val="single" w:color="auto" w:sz="4" w:space="0"/>
            </w:tcBorders>
            <w:vAlign w:val="center"/>
          </w:tcPr>
          <w:p>
            <w:pPr>
              <w:rPr>
                <w:rFonts w:ascii="Arial" w:hAnsi="Arial" w:eastAsia="Times New Roman" w:cs="Arial"/>
                <w:bCs/>
                <w:color w:val="000000"/>
                <w:sz w:val="16"/>
                <w:szCs w:val="16"/>
                <w:lang w:val="es-EC" w:eastAsia="es-EC"/>
              </w:rPr>
            </w:pPr>
          </w:p>
          <w:p>
            <w:pP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Análisis del bien o servicio a ser adquirido.</w:t>
            </w:r>
          </w:p>
          <w:p>
            <w:pPr>
              <w:rPr>
                <w:rFonts w:ascii="Arial" w:hAnsi="Arial" w:eastAsia="Times New Roman" w:cs="Arial"/>
                <w:bCs/>
                <w:color w:val="000000"/>
                <w:sz w:val="16"/>
                <w:szCs w:val="16"/>
                <w:lang w:val="es-EC" w:eastAsia="es-EC"/>
              </w:rPr>
            </w:pPr>
          </w:p>
          <w:p>
            <w:pPr>
              <w:pStyle w:val="31"/>
              <w:numPr>
                <w:ilvl w:val="0"/>
                <w:numId w:val="3"/>
              </w:num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Características técnicas.</w:t>
            </w:r>
          </w:p>
          <w:p>
            <w:pPr>
              <w:pStyle w:val="31"/>
              <w:rPr>
                <w:rFonts w:ascii="Arial" w:hAnsi="Arial" w:eastAsia="Times New Roman" w:cs="Arial"/>
                <w:bCs/>
                <w:color w:val="000000"/>
                <w:sz w:val="16"/>
                <w:szCs w:val="16"/>
                <w:lang w:val="es-EC" w:eastAsia="es-EC"/>
              </w:rPr>
            </w:pPr>
          </w:p>
          <w:p>
            <w:pPr>
              <w:pStyle w:val="31"/>
              <w:numPr>
                <w:ilvl w:val="0"/>
                <w:numId w:val="3"/>
              </w:num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Origen (nacional, importado o ambos).</w:t>
            </w:r>
          </w:p>
          <w:p>
            <w:pPr>
              <w:pStyle w:val="31"/>
              <w:rPr>
                <w:rFonts w:ascii="Arial" w:hAnsi="Arial" w:eastAsia="Times New Roman" w:cs="Arial"/>
                <w:bCs/>
                <w:color w:val="000000"/>
                <w:sz w:val="16"/>
                <w:szCs w:val="16"/>
                <w:lang w:val="es-EC" w:eastAsia="es-EC"/>
              </w:rPr>
            </w:pPr>
          </w:p>
          <w:p>
            <w:pPr>
              <w:pStyle w:val="31"/>
              <w:numPr>
                <w:ilvl w:val="0"/>
                <w:numId w:val="3"/>
              </w:num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 xml:space="preserve">Facilidad de adquisición en el mercado. </w:t>
            </w:r>
          </w:p>
          <w:p>
            <w:pPr>
              <w:pStyle w:val="31"/>
              <w:rPr>
                <w:rFonts w:ascii="Arial" w:hAnsi="Arial" w:eastAsia="Times New Roman" w:cs="Arial"/>
                <w:bCs/>
                <w:color w:val="000000"/>
                <w:sz w:val="16"/>
                <w:szCs w:val="16"/>
                <w:lang w:val="es-EC" w:eastAsia="es-EC"/>
              </w:rPr>
            </w:pPr>
          </w:p>
          <w:p>
            <w:pPr>
              <w:pStyle w:val="31"/>
              <w:numPr>
                <w:ilvl w:val="0"/>
                <w:numId w:val="3"/>
              </w:num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Número de oferentes.</w:t>
            </w:r>
          </w:p>
          <w:p>
            <w:pPr>
              <w:pStyle w:val="31"/>
              <w:rPr>
                <w:rFonts w:ascii="Arial" w:hAnsi="Arial" w:eastAsia="Times New Roman" w:cs="Arial"/>
                <w:bCs/>
                <w:color w:val="000000"/>
                <w:sz w:val="16"/>
                <w:szCs w:val="16"/>
                <w:lang w:val="es-EC" w:eastAsia="es-EC"/>
              </w:rPr>
            </w:pPr>
          </w:p>
          <w:p>
            <w:pPr>
              <w:pStyle w:val="31"/>
              <w:numPr>
                <w:ilvl w:val="0"/>
                <w:numId w:val="3"/>
              </w:num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Riesgo cambiario en caso de que el precio no esté expresado en dólares.</w:t>
            </w:r>
          </w:p>
          <w:p>
            <w:pPr>
              <w:rPr>
                <w:rFonts w:ascii="Arial" w:hAnsi="Arial" w:eastAsia="Times New Roman" w:cs="Arial"/>
                <w:bCs/>
                <w:color w:val="000000"/>
                <w:sz w:val="16"/>
                <w:szCs w:val="16"/>
                <w:lang w:val="es-EC" w:eastAsia="es-EC"/>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266"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2</w:t>
            </w:r>
          </w:p>
        </w:tc>
        <w:tc>
          <w:tcPr>
            <w:tcW w:w="7817" w:type="dxa"/>
            <w:tcBorders>
              <w:top w:val="single" w:color="auto" w:sz="4" w:space="0"/>
              <w:left w:val="single" w:color="auto" w:sz="4" w:space="0"/>
              <w:bottom w:val="single" w:color="auto" w:sz="4" w:space="0"/>
              <w:right w:val="single" w:color="auto" w:sz="4" w:space="0"/>
            </w:tcBorders>
            <w:vAlign w:val="center"/>
          </w:tcPr>
          <w:p>
            <w:pPr>
              <w:rPr>
                <w:rFonts w:ascii="Arial" w:hAnsi="Arial" w:eastAsia="Times New Roman" w:cs="Arial"/>
                <w:bCs/>
                <w:color w:val="000000"/>
                <w:sz w:val="16"/>
                <w:szCs w:val="16"/>
                <w:lang w:val="es-EC" w:eastAsia="es-EC"/>
              </w:rPr>
            </w:pPr>
          </w:p>
          <w:p>
            <w:pP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Considerar los montos de adjudicaciones similares realizadas en años pasados.</w:t>
            </w:r>
          </w:p>
          <w:p>
            <w:pPr>
              <w:rPr>
                <w:rFonts w:ascii="Arial" w:hAnsi="Arial" w:eastAsia="Times New Roman" w:cs="Arial"/>
                <w:bCs/>
                <w:color w:val="000000"/>
                <w:sz w:val="16"/>
                <w:szCs w:val="16"/>
                <w:lang w:val="es-EC" w:eastAsia="es-EC"/>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3"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3</w:t>
            </w:r>
          </w:p>
        </w:tc>
        <w:tc>
          <w:tcPr>
            <w:tcW w:w="7817" w:type="dxa"/>
            <w:tcBorders>
              <w:top w:val="single" w:color="auto" w:sz="4" w:space="0"/>
              <w:left w:val="single" w:color="auto" w:sz="4" w:space="0"/>
              <w:bottom w:val="single" w:color="auto" w:sz="4" w:space="0"/>
              <w:right w:val="single" w:color="auto" w:sz="4" w:space="0"/>
            </w:tcBorders>
            <w:vAlign w:val="center"/>
          </w:tcPr>
          <w:p>
            <w:pPr>
              <w:rPr>
                <w:rFonts w:ascii="Arial" w:hAnsi="Arial" w:eastAsia="Times New Roman" w:cs="Arial"/>
                <w:bCs/>
                <w:color w:val="000000"/>
                <w:sz w:val="16"/>
                <w:szCs w:val="16"/>
                <w:lang w:val="es-EC" w:eastAsia="es-EC"/>
              </w:rPr>
            </w:pPr>
          </w:p>
          <w:p>
            <w:pP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 xml:space="preserve">Tomar en cuenta la variación de precios locales e/o importados, según corresponda. </w:t>
            </w:r>
          </w:p>
          <w:p>
            <w:pPr>
              <w:rPr>
                <w:rFonts w:ascii="Arial" w:hAnsi="Arial" w:eastAsia="Times New Roman" w:cs="Arial"/>
                <w:bCs/>
                <w:color w:val="000000"/>
                <w:sz w:val="16"/>
                <w:szCs w:val="16"/>
                <w:lang w:val="es-EC" w:eastAsia="es-EC"/>
              </w:rPr>
            </w:pPr>
          </w:p>
          <w:p>
            <w:p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 xml:space="preserve">De ser necesario traer los montos a valores presentes, considerando la inflación (nacional e/o internacional); es decir, realizar el análisis a precios actuales; </w:t>
            </w:r>
          </w:p>
          <w:p>
            <w:pPr>
              <w:rPr>
                <w:rFonts w:ascii="Arial" w:hAnsi="Arial" w:eastAsia="Times New Roman" w:cs="Arial"/>
                <w:bCs/>
                <w:color w:val="000000"/>
                <w:sz w:val="16"/>
                <w:szCs w:val="16"/>
                <w:lang w:val="es-EC" w:eastAsia="es-EC"/>
              </w:rPr>
            </w:pPr>
          </w:p>
          <w:p>
            <w:pPr>
              <w:rPr>
                <w:rFonts w:ascii="Arial" w:hAnsi="Arial" w:eastAsia="Times New Roman" w:cs="Arial"/>
                <w:bCs/>
                <w:color w:val="000000"/>
                <w:sz w:val="16"/>
                <w:szCs w:val="16"/>
                <w:lang w:val="es-EC" w:eastAsia="es-EC"/>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343"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4</w:t>
            </w:r>
          </w:p>
        </w:tc>
        <w:tc>
          <w:tcPr>
            <w:tcW w:w="7817" w:type="dxa"/>
            <w:tcBorders>
              <w:top w:val="single" w:color="auto" w:sz="4" w:space="0"/>
              <w:left w:val="single" w:color="auto" w:sz="4" w:space="0"/>
              <w:bottom w:val="single" w:color="auto" w:sz="4" w:space="0"/>
              <w:right w:val="single" w:color="auto" w:sz="4" w:space="0"/>
            </w:tcBorders>
            <w:vAlign w:val="center"/>
          </w:tcPr>
          <w:p>
            <w:pPr>
              <w:rPr>
                <w:rFonts w:ascii="Arial" w:hAnsi="Arial" w:eastAsia="Times New Roman" w:cs="Arial"/>
                <w:b/>
                <w:bCs/>
                <w:color w:val="000000"/>
                <w:sz w:val="16"/>
                <w:szCs w:val="16"/>
                <w:lang w:val="es-EC" w:eastAsia="es-EC"/>
              </w:rPr>
            </w:pPr>
          </w:p>
          <w:p>
            <w:pP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 xml:space="preserve">Considerar la posibilidad de la existencia de productos o servicios sustitutos más eficientes. </w:t>
            </w:r>
          </w:p>
          <w:p>
            <w:pPr>
              <w:rPr>
                <w:rFonts w:ascii="Arial" w:hAnsi="Arial" w:eastAsia="Times New Roman" w:cs="Arial"/>
                <w:b/>
                <w:bCs/>
                <w:color w:val="000000"/>
                <w:sz w:val="16"/>
                <w:szCs w:val="16"/>
                <w:lang w:val="es-EC" w:eastAsia="es-EC"/>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343" w:hRule="atLeast"/>
          <w:jc w:val="center"/>
        </w:trPr>
        <w:tc>
          <w:tcPr>
            <w:tcW w:w="670"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5</w:t>
            </w:r>
          </w:p>
        </w:tc>
        <w:tc>
          <w:tcPr>
            <w:tcW w:w="7817" w:type="dxa"/>
            <w:tcBorders>
              <w:top w:val="single" w:color="auto" w:sz="4" w:space="0"/>
              <w:left w:val="single" w:color="auto" w:sz="4" w:space="0"/>
              <w:bottom w:val="single" w:color="auto" w:sz="4" w:space="0"/>
              <w:right w:val="single" w:color="auto" w:sz="4" w:space="0"/>
            </w:tcBorders>
            <w:vAlign w:val="center"/>
          </w:tcPr>
          <w:p>
            <w:pPr>
              <w:rPr>
                <w:rFonts w:ascii="Arial" w:hAnsi="Arial" w:eastAsia="Times New Roman" w:cs="Arial"/>
                <w:b/>
                <w:bCs/>
                <w:color w:val="000000"/>
                <w:sz w:val="16"/>
                <w:szCs w:val="16"/>
                <w:lang w:val="es-EC" w:eastAsia="es-EC"/>
              </w:rPr>
            </w:pPr>
          </w:p>
          <w:p>
            <w:pPr>
              <w:rPr>
                <w:rFonts w:ascii="Arial" w:hAnsi="Arial" w:eastAsia="Times New Roman" w:cs="Arial"/>
                <w:b/>
                <w:bCs/>
                <w:color w:val="000000"/>
                <w:sz w:val="16"/>
                <w:szCs w:val="16"/>
                <w:lang w:val="es-EC" w:eastAsia="es-EC"/>
              </w:rPr>
            </w:pPr>
            <w:r>
              <w:rPr>
                <w:rFonts w:ascii="Arial" w:hAnsi="Arial" w:eastAsia="Times New Roman" w:cs="Arial"/>
                <w:b/>
                <w:bCs/>
                <w:color w:val="000000"/>
                <w:sz w:val="16"/>
                <w:szCs w:val="16"/>
                <w:lang w:val="es-EC" w:eastAsia="es-EC"/>
              </w:rPr>
              <w:t>Proformas de proveedores de las obras, bienes o servicios a contratar.</w:t>
            </w:r>
          </w:p>
          <w:p>
            <w:pPr>
              <w:rPr>
                <w:rFonts w:ascii="Arial" w:hAnsi="Arial" w:eastAsia="Times New Roman" w:cs="Arial"/>
                <w:b/>
                <w:bCs/>
                <w:color w:val="000000"/>
                <w:sz w:val="16"/>
                <w:szCs w:val="16"/>
                <w:lang w:val="es-EC" w:eastAsia="es-EC"/>
              </w:rPr>
            </w:pPr>
          </w:p>
        </w:tc>
      </w:tr>
    </w:tbl>
    <w:p>
      <w:pPr>
        <w:spacing w:line="200" w:lineRule="exact"/>
        <w:jc w:val="both"/>
        <w:rPr>
          <w:rFonts w:eastAsia="Arial" w:cs="Arial"/>
          <w:bCs/>
          <w:spacing w:val="-1"/>
          <w:sz w:val="20"/>
          <w:szCs w:val="20"/>
          <w:lang w:val="es-EC"/>
        </w:rPr>
      </w:pPr>
    </w:p>
    <w:p>
      <w:pPr>
        <w:spacing w:line="200" w:lineRule="exact"/>
        <w:jc w:val="both"/>
        <w:rPr>
          <w:rFonts w:eastAsia="Arial" w:cs="Arial"/>
          <w:bCs/>
          <w:spacing w:val="-1"/>
          <w:sz w:val="20"/>
          <w:szCs w:val="20"/>
          <w:lang w:val="es-EC"/>
        </w:rPr>
      </w:pPr>
    </w:p>
    <w:p>
      <w:pPr>
        <w:spacing w:line="200" w:lineRule="exact"/>
        <w:jc w:val="both"/>
        <w:rPr>
          <w:rFonts w:eastAsia="Arial" w:cs="Arial"/>
          <w:bCs/>
          <w:spacing w:val="-1"/>
          <w:sz w:val="20"/>
          <w:szCs w:val="20"/>
          <w:lang w:val="es-EC"/>
        </w:rPr>
      </w:pPr>
    </w:p>
    <w:p>
      <w:pPr>
        <w:spacing w:line="200" w:lineRule="exact"/>
        <w:jc w:val="both"/>
        <w:rPr>
          <w:rFonts w:eastAsia="Arial" w:cs="Arial"/>
          <w:bCs/>
          <w:spacing w:val="-1"/>
          <w:sz w:val="20"/>
          <w:szCs w:val="20"/>
          <w:lang w:val="es-EC"/>
        </w:rPr>
      </w:pPr>
    </w:p>
    <w:p>
      <w:pPr>
        <w:spacing w:line="200" w:lineRule="exact"/>
        <w:jc w:val="both"/>
        <w:rPr>
          <w:rFonts w:eastAsia="Arial" w:cs="Arial"/>
          <w:bCs/>
          <w:spacing w:val="-1"/>
          <w:sz w:val="20"/>
          <w:szCs w:val="20"/>
          <w:lang w:val="es-EC"/>
        </w:rPr>
      </w:pPr>
    </w:p>
    <w:p>
      <w:pPr>
        <w:spacing w:line="200" w:lineRule="exact"/>
        <w:jc w:val="both"/>
        <w:rPr>
          <w:rFonts w:eastAsia="Arial" w:cs="Arial"/>
          <w:bCs/>
          <w:spacing w:val="-1"/>
          <w:sz w:val="20"/>
          <w:szCs w:val="20"/>
          <w:lang w:val="es-EC"/>
        </w:rPr>
      </w:pPr>
    </w:p>
    <w:p>
      <w:pPr>
        <w:pStyle w:val="31"/>
        <w:numPr>
          <w:ilvl w:val="0"/>
          <w:numId w:val="4"/>
        </w:numPr>
        <w:pBdr>
          <w:top w:val="single" w:color="auto" w:sz="4" w:space="0"/>
          <w:left w:val="single" w:color="auto" w:sz="4" w:space="1"/>
          <w:bottom w:val="single" w:color="auto" w:sz="4" w:space="1"/>
          <w:right w:val="single" w:color="auto" w:sz="4" w:space="0"/>
        </w:pBdr>
        <w:shd w:val="clear" w:color="auto" w:fill="7F7F7F" w:themeFill="background1" w:themeFillShade="80"/>
        <w:tabs>
          <w:tab w:val="left" w:pos="5768"/>
          <w:tab w:val="left" w:pos="6237"/>
          <w:tab w:val="left" w:pos="6488"/>
        </w:tabs>
        <w:rPr>
          <w:rFonts w:ascii="Times New Roman" w:hAnsi="Times New Roman" w:eastAsia="Times New Roman" w:cs="Times New Roman"/>
          <w:b/>
          <w:color w:val="FFFFFF"/>
          <w:sz w:val="20"/>
          <w:szCs w:val="20"/>
        </w:rPr>
      </w:pPr>
      <w:r>
        <w:rPr>
          <w:rFonts w:ascii="Times New Roman" w:hAnsi="Times New Roman" w:eastAsia="Times New Roman" w:cs="Times New Roman"/>
          <w:b/>
          <w:color w:val="FFFFFF"/>
          <w:sz w:val="20"/>
          <w:szCs w:val="20"/>
        </w:rPr>
        <w:t>Análisis del bien o servicio a ser adquirido.</w:t>
      </w:r>
    </w:p>
    <w:p>
      <w:pPr>
        <w:widowControl w:val="0"/>
        <w:autoSpaceDE w:val="0"/>
        <w:autoSpaceDN w:val="0"/>
        <w:adjustRightInd w:val="0"/>
        <w:ind w:left="360"/>
        <w:jc w:val="both"/>
        <w:rPr>
          <w:rFonts w:ascii="Times New Roman" w:hAnsi="Times New Roman" w:eastAsia="Times New Roman" w:cs="Times New Roman"/>
          <w:b/>
          <w:sz w:val="20"/>
          <w:szCs w:val="20"/>
        </w:rPr>
      </w:pPr>
    </w:p>
    <w:p>
      <w:pPr>
        <w:pStyle w:val="31"/>
        <w:widowControl w:val="0"/>
        <w:numPr>
          <w:ilvl w:val="0"/>
          <w:numId w:val="5"/>
        </w:numPr>
        <w:autoSpaceDE w:val="0"/>
        <w:autoSpaceDN w:val="0"/>
        <w:adjustRightInd w:val="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Características Técnicas.</w:t>
      </w:r>
    </w:p>
    <w:p>
      <w:pPr>
        <w:pStyle w:val="31"/>
        <w:widowControl w:val="0"/>
        <w:autoSpaceDE w:val="0"/>
        <w:autoSpaceDN w:val="0"/>
        <w:adjustRightInd w:val="0"/>
        <w:jc w:val="both"/>
        <w:rPr>
          <w:rFonts w:ascii="Times New Roman" w:hAnsi="Times New Roman" w:eastAsia="Times New Roman" w:cs="Times New Roman"/>
          <w:b/>
          <w:sz w:val="20"/>
          <w:szCs w:val="20"/>
        </w:rPr>
      </w:pPr>
    </w:p>
    <w:p>
      <w:pPr>
        <w:pStyle w:val="31"/>
        <w:widowControl w:val="0"/>
        <w:autoSpaceDE w:val="0"/>
        <w:autoSpaceDN w:val="0"/>
        <w:adjustRightInd w:val="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Bienes/Servicios:</w:t>
      </w:r>
    </w:p>
    <w:tbl>
      <w:tblPr>
        <w:tblStyle w:val="7"/>
        <w:tblW w:w="8844" w:type="dxa"/>
        <w:tblInd w:w="-10" w:type="dxa"/>
        <w:tblLayout w:type="fixed"/>
        <w:tblCellMar>
          <w:top w:w="0" w:type="dxa"/>
          <w:left w:w="70" w:type="dxa"/>
          <w:bottom w:w="0" w:type="dxa"/>
          <w:right w:w="70" w:type="dxa"/>
        </w:tblCellMar>
      </w:tblPr>
      <w:tblGrid>
        <w:gridCol w:w="541"/>
        <w:gridCol w:w="1439"/>
        <w:gridCol w:w="1978"/>
        <w:gridCol w:w="1056"/>
        <w:gridCol w:w="1181"/>
        <w:gridCol w:w="928"/>
        <w:gridCol w:w="665"/>
        <w:gridCol w:w="1056"/>
      </w:tblGrid>
      <w:tr>
        <w:tblPrEx>
          <w:tblLayout w:type="fixed"/>
          <w:tblCellMar>
            <w:top w:w="0" w:type="dxa"/>
            <w:left w:w="70" w:type="dxa"/>
            <w:bottom w:w="0" w:type="dxa"/>
            <w:right w:w="70" w:type="dxa"/>
          </w:tblCellMar>
        </w:tblPrEx>
        <w:trPr>
          <w:trHeight w:val="437" w:hRule="atLeast"/>
        </w:trPr>
        <w:tc>
          <w:tcPr>
            <w:tcW w:w="541"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bookmarkStart w:id="0" w:name="_Hlk34980741"/>
            <w:r>
              <w:rPr>
                <w:rFonts w:ascii="Times" w:hAnsi="Times" w:eastAsia="Times New Roman" w:cs="Times"/>
                <w:b/>
                <w:bCs/>
                <w:color w:val="000000"/>
                <w:sz w:val="16"/>
                <w:szCs w:val="16"/>
                <w:lang w:val="es-EC" w:eastAsia="es-EC"/>
              </w:rPr>
              <w:t>Nro.</w:t>
            </w:r>
          </w:p>
        </w:tc>
        <w:tc>
          <w:tcPr>
            <w:tcW w:w="1439"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 xml:space="preserve">Descripción </w:t>
            </w:r>
            <w:r>
              <w:rPr>
                <w:rFonts w:ascii="Times" w:hAnsi="Times" w:eastAsia="Times New Roman" w:cs="Times"/>
                <w:b/>
                <w:bCs/>
                <w:color w:val="000000"/>
                <w:sz w:val="16"/>
                <w:szCs w:val="16"/>
                <w:lang w:val="es-EC" w:eastAsia="es-EC"/>
              </w:rPr>
              <w:br w:type="textWrapping"/>
            </w:r>
            <w:r>
              <w:rPr>
                <w:rFonts w:ascii="Times" w:hAnsi="Times" w:eastAsia="Times New Roman" w:cs="Times"/>
                <w:b/>
                <w:bCs/>
                <w:color w:val="000000"/>
                <w:sz w:val="16"/>
                <w:szCs w:val="16"/>
                <w:lang w:val="es-EC" w:eastAsia="es-EC"/>
              </w:rPr>
              <w:t>del bien o servicio</w:t>
            </w:r>
          </w:p>
        </w:tc>
        <w:tc>
          <w:tcPr>
            <w:tcW w:w="1978"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Características o especificaciones técnicas, requisitos funcionales o tecnológicos</w:t>
            </w:r>
          </w:p>
        </w:tc>
        <w:tc>
          <w:tcPr>
            <w:tcW w:w="1056"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Atributos</w:t>
            </w:r>
          </w:p>
        </w:tc>
        <w:tc>
          <w:tcPr>
            <w:tcW w:w="1181"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Condiciones de uso</w:t>
            </w:r>
          </w:p>
        </w:tc>
        <w:tc>
          <w:tcPr>
            <w:tcW w:w="1593" w:type="dxa"/>
            <w:gridSpan w:val="2"/>
            <w:tcBorders>
              <w:top w:val="single" w:color="auto" w:sz="8" w:space="0"/>
              <w:left w:val="nil"/>
              <w:bottom w:val="single" w:color="auto" w:sz="8" w:space="0"/>
              <w:right w:val="single" w:color="000000"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Cantidad</w:t>
            </w:r>
          </w:p>
        </w:tc>
        <w:tc>
          <w:tcPr>
            <w:tcW w:w="1056"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Unidad de Medida</w:t>
            </w:r>
          </w:p>
        </w:tc>
      </w:tr>
      <w:tr>
        <w:tblPrEx>
          <w:tblLayout w:type="fixed"/>
          <w:tblCellMar>
            <w:top w:w="0" w:type="dxa"/>
            <w:left w:w="70" w:type="dxa"/>
            <w:bottom w:w="0" w:type="dxa"/>
            <w:right w:w="70" w:type="dxa"/>
          </w:tblCellMar>
        </w:tblPrEx>
        <w:trPr>
          <w:trHeight w:val="437" w:hRule="atLeast"/>
        </w:trPr>
        <w:tc>
          <w:tcPr>
            <w:tcW w:w="541"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439"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978"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056"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181" w:type="dxa"/>
            <w:vMerge w:val="continue"/>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rPr>
                <w:rFonts w:ascii="Times" w:hAnsi="Times" w:eastAsia="Times New Roman" w:cs="Times"/>
                <w:b/>
                <w:bCs/>
                <w:color w:val="000000"/>
                <w:sz w:val="16"/>
                <w:szCs w:val="16"/>
                <w:lang w:val="es-EC" w:eastAsia="es-EC"/>
              </w:rPr>
            </w:pPr>
          </w:p>
        </w:tc>
        <w:tc>
          <w:tcPr>
            <w:tcW w:w="928" w:type="dxa"/>
            <w:tcBorders>
              <w:top w:val="nil"/>
              <w:left w:val="nil"/>
              <w:bottom w:val="single" w:color="auto" w:sz="8" w:space="0"/>
              <w:right w:val="single" w:color="auto" w:sz="8" w:space="0"/>
            </w:tcBorders>
            <w:shd w:val="clear" w:color="auto" w:fill="E7E6E6" w:themeFill="background2"/>
            <w:vAlign w:val="center"/>
          </w:tcPr>
          <w:p>
            <w:pPr>
              <w:jc w:val="center"/>
              <w:rPr>
                <w:rFonts w:ascii="Times" w:hAnsi="Times" w:eastAsia="Times New Roman" w:cs="Times"/>
                <w:b/>
                <w:color w:val="000000"/>
                <w:sz w:val="16"/>
                <w:szCs w:val="16"/>
                <w:lang w:val="es-EC" w:eastAsia="es-EC"/>
              </w:rPr>
            </w:pPr>
            <w:r>
              <w:rPr>
                <w:rFonts w:ascii="Times" w:hAnsi="Times" w:eastAsia="Times New Roman" w:cs="Times"/>
                <w:b/>
                <w:color w:val="000000"/>
                <w:sz w:val="16"/>
                <w:szCs w:val="16"/>
                <w:lang w:val="es-EC" w:eastAsia="es-EC"/>
              </w:rPr>
              <w:t xml:space="preserve">Numero </w:t>
            </w:r>
          </w:p>
        </w:tc>
        <w:tc>
          <w:tcPr>
            <w:tcW w:w="665" w:type="dxa"/>
            <w:tcBorders>
              <w:top w:val="nil"/>
              <w:left w:val="nil"/>
              <w:bottom w:val="single" w:color="auto" w:sz="8" w:space="0"/>
              <w:right w:val="single" w:color="auto" w:sz="8" w:space="0"/>
            </w:tcBorders>
            <w:shd w:val="clear" w:color="auto" w:fill="E7E6E6" w:themeFill="background2"/>
            <w:vAlign w:val="center"/>
          </w:tcPr>
          <w:p>
            <w:pPr>
              <w:jc w:val="center"/>
              <w:rPr>
                <w:rFonts w:ascii="Times" w:hAnsi="Times" w:eastAsia="Times New Roman" w:cs="Times"/>
                <w:b/>
                <w:color w:val="000000"/>
                <w:sz w:val="16"/>
                <w:szCs w:val="16"/>
                <w:lang w:val="es-EC" w:eastAsia="es-EC"/>
              </w:rPr>
            </w:pPr>
            <w:r>
              <w:rPr>
                <w:rFonts w:ascii="Times" w:hAnsi="Times" w:eastAsia="Times New Roman" w:cs="Times"/>
                <w:b/>
                <w:color w:val="000000"/>
                <w:sz w:val="16"/>
                <w:szCs w:val="16"/>
                <w:lang w:val="es-EC" w:eastAsia="es-EC"/>
              </w:rPr>
              <w:t>Letras</w:t>
            </w:r>
          </w:p>
        </w:tc>
        <w:tc>
          <w:tcPr>
            <w:tcW w:w="1056"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1</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1</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01</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Uno</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Kilogramo</w:t>
            </w: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2</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2</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11</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Once</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Metro</w:t>
            </w:r>
          </w:p>
        </w:tc>
      </w:tr>
      <w:tr>
        <w:tblPrEx>
          <w:tblLayout w:type="fixed"/>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3</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3</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03</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Tres</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Global</w:t>
            </w:r>
          </w:p>
        </w:tc>
      </w:tr>
      <w:tr>
        <w:tblPrEx>
          <w:tblLayout w:type="fixed"/>
          <w:tblCellMar>
            <w:top w:w="0" w:type="dxa"/>
            <w:left w:w="70" w:type="dxa"/>
            <w:bottom w:w="0" w:type="dxa"/>
            <w:right w:w="70" w:type="dxa"/>
          </w:tblCellMar>
        </w:tblPrEx>
        <w:trPr>
          <w:trHeight w:val="789"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4</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Ej. Toner Black C746 H1KG</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Toner original de alto rendimiento, para impresora Lexmark c746</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Original</w:t>
            </w:r>
          </w:p>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Código C746h1kg</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impresora Lexmark, entrega inmediata</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10</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Diez</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Unidad</w:t>
            </w: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5</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Ej.  Roll up sin estructura</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Impresión full color en lona e instalación de acuerdo a diseño aprobado </w:t>
            </w:r>
          </w:p>
        </w:tc>
        <w:tc>
          <w:tcPr>
            <w:tcW w:w="1056" w:type="dxa"/>
            <w:tcBorders>
              <w:top w:val="nil"/>
              <w:left w:val="nil"/>
              <w:bottom w:val="single" w:color="auto" w:sz="8" w:space="0"/>
              <w:right w:val="single" w:color="auto" w:sz="8" w:space="0"/>
            </w:tcBorders>
            <w:shd w:val="clear" w:color="auto" w:fill="auto"/>
            <w:vAlign w:val="center"/>
          </w:tcPr>
          <w:p>
            <w:pP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Entrega entre 2 a 4 días desde su requerimiento Dimensiones Largo: Ancho</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Programas y eventos dentro y fuera de la UNL</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10</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Diez</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Unidad</w:t>
            </w:r>
          </w:p>
          <w:p>
            <w:pPr>
              <w:jc w:val="center"/>
              <w:rPr>
                <w:rFonts w:ascii="Times" w:hAnsi="Times" w:eastAsia="Times New Roman" w:cs="Times"/>
                <w:color w:val="000000"/>
                <w:sz w:val="16"/>
                <w:szCs w:val="16"/>
                <w:lang w:val="es-EC" w:eastAsia="es-EC"/>
              </w:rPr>
            </w:pP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6</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rPr>
            </w:pPr>
            <w:r>
              <w:rPr>
                <w:rFonts w:ascii="Times" w:hAnsi="Times" w:eastAsia="Times New Roman" w:cs="Times"/>
                <w:color w:val="000000"/>
                <w:sz w:val="16"/>
                <w:szCs w:val="16"/>
                <w:lang w:val="es-EC"/>
              </w:rPr>
              <w:t>Ej. Manija pro negra derecha MI</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Accesorio derecho interior, para reposición, deben ser de marca especifica</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Original de marca</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Material de carpintería para reemplazar cerraduras marca MICO</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03</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Tres</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Unidad </w:t>
            </w: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 </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r>
      <w:tr>
        <w:tblPrEx>
          <w:tblLayout w:type="fixed"/>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N</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n</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00</w:t>
            </w:r>
          </w:p>
        </w:tc>
        <w:tc>
          <w:tcPr>
            <w:tcW w:w="665" w:type="dxa"/>
            <w:tcBorders>
              <w:top w:val="nil"/>
              <w:left w:val="nil"/>
              <w:bottom w:val="single" w:color="auto" w:sz="8" w:space="0"/>
              <w:right w:val="single" w:color="auto" w:sz="8" w:space="0"/>
            </w:tcBorders>
            <w:shd w:val="clear" w:color="auto" w:fill="auto"/>
            <w:vAlign w:val="center"/>
          </w:tcPr>
          <w:p>
            <w:pP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 xxx</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r>
      <w:bookmarkEnd w:id="0"/>
    </w:tbl>
    <w:p>
      <w:pPr>
        <w:pStyle w:val="31"/>
        <w:widowControl w:val="0"/>
        <w:autoSpaceDE w:val="0"/>
        <w:autoSpaceDN w:val="0"/>
        <w:adjustRightInd w:val="0"/>
        <w:jc w:val="both"/>
        <w:rPr>
          <w:rFonts w:ascii="Times New Roman" w:hAnsi="Times New Roman" w:eastAsia="Times New Roman" w:cs="Times New Roman"/>
          <w:b/>
          <w:sz w:val="20"/>
          <w:szCs w:val="20"/>
        </w:rPr>
      </w:pPr>
    </w:p>
    <w:p>
      <w:pPr>
        <w:pStyle w:val="31"/>
        <w:widowControl w:val="0"/>
        <w:numPr>
          <w:ilvl w:val="0"/>
          <w:numId w:val="5"/>
        </w:numPr>
        <w:autoSpaceDE w:val="0"/>
        <w:autoSpaceDN w:val="0"/>
        <w:adjustRightInd w:val="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Origen: (nacional, importado o ambos).</w:t>
      </w: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Para determinar el origen de la oferta la Universidad Nacional de Loja considerará la metodología establecida por el Servicio Nacional de Contratación Pública para la determinación del Valor Agregado Ecuatoriano por producto en los procedimientos de contratación de bienes y señalada en la codificación y actualización de resoluciones emitidas por Servicio Nacional de Contratación Pública, expedida mediante Resolución SERCOP-072-2016 y sus reformas y </w:t>
      </w:r>
      <w:r>
        <w:fldChar w:fldCharType="begin"/>
      </w:r>
      <w:r>
        <w:instrText xml:space="preserve"> HYPERLINK "https://portal.compraspublicas.gob.ec/sercop/wp-content/uploads/2016/09/Anexo-1-Metodología-para-determinar-el-Valor-Agregado-Ecuatoriano..pdf" </w:instrText>
      </w:r>
      <w:r>
        <w:fldChar w:fldCharType="separate"/>
      </w:r>
      <w:r>
        <w:rPr>
          <w:rFonts w:ascii="Times New Roman" w:hAnsi="Times New Roman" w:eastAsia="Times New Roman" w:cs="Times New Roman"/>
          <w:sz w:val="20"/>
          <w:szCs w:val="20"/>
          <w:lang w:val="es-ES" w:eastAsia="es-ES"/>
        </w:rPr>
        <w:t>Anexo 1:</w:t>
      </w:r>
      <w:r>
        <w:rPr>
          <w:rFonts w:ascii="Times New Roman" w:hAnsi="Times New Roman" w:eastAsia="Times New Roman" w:cs="Times New Roman"/>
          <w:sz w:val="20"/>
          <w:szCs w:val="20"/>
          <w:lang w:val="es-ES" w:eastAsia="es-ES"/>
        </w:rPr>
        <w:fldChar w:fldCharType="end"/>
      </w:r>
      <w:r>
        <w:rPr>
          <w:rFonts w:ascii="Times New Roman" w:hAnsi="Times New Roman" w:eastAsia="Times New Roman" w:cs="Times New Roman"/>
          <w:sz w:val="20"/>
          <w:szCs w:val="20"/>
          <w:lang w:val="es-ES" w:eastAsia="es-ES"/>
        </w:rPr>
        <w:t xml:space="preserve"> Metodología para determinar el Valor Agregado Ecuatoriano, publicados en el portal institucional del SERCOP y en la cual se mide la participación porcentual de la materia prima ecuatoriana insumida en la producción nacional de bienes y que servirá como criterio de evaluación y adjudicación en los procesos de adquisición de bienes.</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Metodología establecida para determinar umbrales de preferencia nacional para productos ecuatorianos y que permite una mayor participación de productores ecuatorianos en la contratación pública.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La Universidad Nacional de Loja en los procedimientos de contratación pública, aplicara de manera obligatoria lo señalado en los numerales 70, 71, 71a, 72, 73 del Art. 2 de la Resolución SERCOP-072-2016, en los que se determina que: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70. Umbral de Valor Agregado Ecuatoriano por CPC.-  Porcentaje mínimo de Valor Agregado Ecuatoriano por producto, por código CPC vigente en el Sistema Oficial de Contratación del Estado (SOCE), que será publicado en el Portal Institucional del Servicio Nacional de Contratación Pública y que es usado electrónicamente mediante el SOCE para el establecimiento respectivo del umbral de Valor Agregado Ecuatoriano del procedimiento de contratación pública, conforme se establece en esta codificación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71. Umbral de Valor Agregado Ecuatoriano del procedimiento de contratación pública. - Porcentaje mínimo de Valor Agregado Ecuatoriano que debe cumplir una oferta a fin de que ésta sea considerada ecuatoriana y acceda a las preferencias detalladas en la normativa vigente. Este porcentaje es establecido por el Sistema Oficial de Contratación del Estado, conforme a la metodología establecida en la presente Codificación y debe ser publicado en los pliegos respectivos para cada procedimiento de contratación pública, según corresponda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71a. Umbral de las órdenes de compra del Catálogo Electrónico General. - Es el monto que deberá ser observado para determinar el procedimiento de contratación para la adquisición de bienes y servicios normalizados que consten en el catálogo electrónico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72. Valor Agregado Ecuatoriano de una oferta. - Porcentaje de Valor Agregado Ecuatoriano que es declarado por el oferente en los formularios establecidos en los Anexos 1 y 2 de esta Codificación […]”.</w:t>
      </w:r>
      <w:r>
        <w:rPr>
          <w:rFonts w:ascii="Times New Roman" w:hAnsi="Times New Roman" w:eastAsia="Times New Roman" w:cs="Times New Roman"/>
          <w:sz w:val="20"/>
          <w:szCs w:val="20"/>
          <w:lang w:val="es-ES" w:eastAsia="es-ES"/>
        </w:rPr>
        <w:br w:type="textWrapping"/>
      </w: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73. Valor Agregado Ecuatoriano por producto. - Es el porcentaje que se obtiene de la relación entre el consumo intermedio de componente nacional respecto al valor de la producción a precios básicos de la Matriz Insumo Producto. Las compras de bienes y/o servicios que utilizan las empresas como insumos para generar sus productos se denomina consumo intermedio. Este porcentaje se constituye como el valor mínimo, en dólares generados dentro del territorio ecuatoriano, que un producto ofertado al Estado debe cumplir y acreditar para acceder a preferencias por producción nacional, como lo detalla la presente Codificación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Por otra parte, y conforme lo señalan los artículos 70, 72, 73, 74, 77 de la Resolución SERCOP-072-2016, la Universidad Nacional de Loja considera una oferta como ecuatoriana a la que cumpla con las disposiciones normativas que a continuación se describen: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 Art. 70.- Ofertas ecuatorianas de bienes o servicios. - Para que una oferta sea considerada ecuatoriana el Valor Agregado Ecuatoriano de la misma deberá ser igual o superior al umbral del Valor Agregado Ecuatoriano del procedimiento de contratación pública, publicado por la entidad contratante conforme lo establecido por el Sistema Oficial de Contratación del Estado -SOCE […}”;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Art. 72.- Reserva de mercado por Valor Agregado Ecuatoriano. – (…) Para los procedimientos de Régimen Especial que apliquen conforme a lo establecido en la presente Sección, cuando existan proveedores que oferten bienes, servicios y obras ecuatorianas, se continuará; exclusivamente con dichas ofertas excluyendo las consideradas de procedencia extranjera. En todo procedimiento de bienes y/o servicios no normalizados, incluso aquellos que se realicen debido a la declaratoria previa de desierto de una Subasta Inversa Electrónica por parte de la entidad contratante, así como en los procedimientos de Licitación de Obras, siempre que existan ofertas que cumplan con el umbral mínimo de Valor Agregado Ecuatoriano, el procedimiento de contratación continuará exclusivamente con éstas. En tal caso, se deberá aplicar los márgenes de preferencia previstos en el pliego, correspondiendo el máximo puntaje a la oferta con mayor porcentaje de Valor Agregado Ecuatoriano y a las demás en forma directamente proporcional.</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Únicamente cuando en los procedimientos de contratación no hubiere oferta u ofertas de bienes, servicios u obras consideradas ecuatorianas, las entidades contratantes continuarán el procedimiento con las ofertas de bienes, servicios u obras de procedencia extranjera. En cuyo caso, no se aplicarán márgenes de preferencia por Valor Agregado Ecuatoriano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Art. 73.- Metodología. - La metodología para determinar el Valor Agregado Ecuatoriano por producto en los procedimientos de contratación pública de bienes y prestación de servicios, se adjunta a la presente Codificación como Anexo 1.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El Servicio Nacional de Contratación Pública podrá modificar los umbrales de Valor Agregado Ecuatoriano por producto, por código CPC a nueve dígitos. Para ello, bastará su notificación y publicación en el Portal Institucional del Servicio Nacional de Contratación Pública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Art. 74.- Cálculo del umbral de Valor Agregado Ecuatoriano del procedimiento de contratación pública.- Para los procedimientos de contratación pública de bienes y/o servicios, las entidades contratantes aplicarán los umbrales de Valor Agregado Ecuatoriano por producto, por código CPC a nueve dígitos, que será publicado en el Portal Institucional del Servicio Nacional de Contratación Pública, conforme a los criterios y la metodología para la aplicación de preferencias por Valor Agregado Ecuatoriano por producto.</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Cuando el procedimiento de contratación pública corresponda a un único código CPC, el umbral del Valor Agregado Ecuatoriano de ese procedimiento de contratación pública corresponderá al umbral específico del Valor Agregado Ecuatoriano de ese código CPC que está publicado en el Portal Institucional del Servicio Nacional de Contratación Pública.</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Cuando el procedimiento de contratación pública corresponda a dos o más códigos CPCs, el umbral de Valor Agregado Ecuatoriano de ese procedimiento será calculado por el Sistema Oficial de Contratación del Estado -SOCE, el cual establecerá un promedio ponderado de los valores del Valor Agregado Ecuatoriano de cada producto de dicho procedimiento, ponderado por la participación de cada producto en el monto total del presupuesto referencial, de conformidad con la metodología definida por el Servicio Nacional de Contratación Pública y publicada a través del Portal Institucional del Servicio Nacional de Contratación Pública […]”.</w:t>
      </w:r>
    </w:p>
    <w:p>
      <w:pPr>
        <w:widowControl w:val="0"/>
        <w:autoSpaceDE w:val="0"/>
        <w:autoSpaceDN w:val="0"/>
        <w:adjustRightInd w:val="0"/>
        <w:jc w:val="both"/>
        <w:rPr>
          <w:rFonts w:ascii="Times New Roman" w:hAnsi="Times New Roman" w:eastAsia="Times New Roman" w:cs="Times New Roman"/>
          <w:sz w:val="20"/>
          <w:szCs w:val="20"/>
          <w:lang w:val="es-ES" w:eastAsia="es-ES"/>
        </w:rPr>
      </w:pPr>
    </w:p>
    <w:p>
      <w:pPr>
        <w:widowControl w:val="0"/>
        <w:autoSpaceDE w:val="0"/>
        <w:autoSpaceDN w:val="0"/>
        <w:adjustRightInd w:val="0"/>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Por ende, la Universidad Nacional de Loja, considerara las ofertas como de origen ecuatoriano siempre y cuando el umbral del procedimiento de contratación escogido para la publicación del proceso sea igual o mayor al establecido para el proceso de contratación y conforme el siguiente detalle:</w:t>
      </w:r>
    </w:p>
    <w:p>
      <w:pPr>
        <w:widowControl w:val="0"/>
        <w:autoSpaceDE w:val="0"/>
        <w:autoSpaceDN w:val="0"/>
        <w:adjustRightInd w:val="0"/>
        <w:jc w:val="both"/>
        <w:rPr>
          <w:rFonts w:ascii="Times New Roman" w:hAnsi="Times New Roman" w:eastAsia="Times New Roman" w:cs="Times New Roman"/>
          <w:b/>
          <w:sz w:val="20"/>
          <w:szCs w:val="20"/>
        </w:rPr>
      </w:pPr>
    </w:p>
    <w:tbl>
      <w:tblPr>
        <w:tblStyle w:val="7"/>
        <w:tblW w:w="894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43"/>
        <w:gridCol w:w="4699"/>
        <w:gridCol w:w="1233"/>
        <w:gridCol w:w="1233"/>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313" w:hRule="atLeast"/>
        </w:trPr>
        <w:tc>
          <w:tcPr>
            <w:tcW w:w="543" w:type="dxa"/>
            <w:vMerge w:val="restart"/>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Nro.</w:t>
            </w:r>
          </w:p>
        </w:tc>
        <w:tc>
          <w:tcPr>
            <w:tcW w:w="4699" w:type="dxa"/>
            <w:vMerge w:val="restart"/>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Objeto de Contratación</w:t>
            </w:r>
          </w:p>
        </w:tc>
        <w:tc>
          <w:tcPr>
            <w:tcW w:w="3701" w:type="dxa"/>
            <w:gridSpan w:val="3"/>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Origen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313" w:hRule="atLeast"/>
        </w:trPr>
        <w:tc>
          <w:tcPr>
            <w:tcW w:w="543" w:type="dxa"/>
            <w:vMerge w:val="continue"/>
            <w:shd w:val="clear" w:color="auto" w:fill="E7E6E6" w:themeFill="background2"/>
            <w:vAlign w:val="center"/>
          </w:tcPr>
          <w:p>
            <w:pPr>
              <w:rPr>
                <w:rFonts w:ascii="Times" w:hAnsi="Times" w:eastAsia="Times New Roman" w:cs="Times"/>
                <w:b/>
                <w:bCs/>
                <w:color w:val="000000"/>
                <w:sz w:val="16"/>
                <w:szCs w:val="16"/>
                <w:lang w:val="es-EC" w:eastAsia="es-EC"/>
              </w:rPr>
            </w:pPr>
          </w:p>
        </w:tc>
        <w:tc>
          <w:tcPr>
            <w:tcW w:w="4699" w:type="dxa"/>
            <w:vMerge w:val="continue"/>
            <w:shd w:val="clear" w:color="auto" w:fill="E7E6E6" w:themeFill="background2"/>
            <w:vAlign w:val="center"/>
          </w:tcPr>
          <w:p>
            <w:pPr>
              <w:rPr>
                <w:rFonts w:ascii="Times" w:hAnsi="Times" w:eastAsia="Times New Roman" w:cs="Times"/>
                <w:b/>
                <w:bCs/>
                <w:color w:val="000000"/>
                <w:sz w:val="16"/>
                <w:szCs w:val="16"/>
                <w:lang w:val="es-EC" w:eastAsia="es-EC"/>
              </w:rPr>
            </w:pPr>
          </w:p>
        </w:tc>
        <w:tc>
          <w:tcPr>
            <w:tcW w:w="1233" w:type="dxa"/>
            <w:shd w:val="clear" w:color="auto" w:fill="E7E6E6" w:themeFill="background2"/>
            <w:vAlign w:val="center"/>
          </w:tcPr>
          <w:p>
            <w:pPr>
              <w:jc w:val="center"/>
              <w:rPr>
                <w:rFonts w:ascii="Times" w:hAnsi="Times" w:eastAsia="Times New Roman" w:cs="Times"/>
                <w:b/>
                <w:color w:val="000000"/>
                <w:sz w:val="16"/>
                <w:szCs w:val="16"/>
                <w:lang w:val="es-EC" w:eastAsia="es-EC"/>
              </w:rPr>
            </w:pPr>
            <w:r>
              <w:rPr>
                <w:rFonts w:ascii="Times" w:hAnsi="Times" w:eastAsia="Times New Roman" w:cs="Times"/>
                <w:b/>
                <w:color w:val="000000"/>
                <w:sz w:val="16"/>
                <w:szCs w:val="16"/>
                <w:lang w:val="es-EC" w:eastAsia="es-EC"/>
              </w:rPr>
              <w:t xml:space="preserve">Nacional </w:t>
            </w:r>
          </w:p>
        </w:tc>
        <w:tc>
          <w:tcPr>
            <w:tcW w:w="1233" w:type="dxa"/>
            <w:shd w:val="clear" w:color="auto" w:fill="E7E6E6" w:themeFill="background2"/>
            <w:vAlign w:val="center"/>
          </w:tcPr>
          <w:p>
            <w:pPr>
              <w:jc w:val="center"/>
              <w:rPr>
                <w:rFonts w:ascii="Times" w:hAnsi="Times" w:eastAsia="Times New Roman" w:cs="Times"/>
                <w:b/>
                <w:color w:val="000000"/>
                <w:sz w:val="16"/>
                <w:szCs w:val="16"/>
                <w:lang w:val="es-EC" w:eastAsia="es-EC"/>
              </w:rPr>
            </w:pPr>
            <w:r>
              <w:rPr>
                <w:rFonts w:ascii="Times" w:hAnsi="Times" w:eastAsia="Times New Roman" w:cs="Times"/>
                <w:b/>
                <w:color w:val="000000"/>
                <w:sz w:val="16"/>
                <w:szCs w:val="16"/>
                <w:lang w:val="es-EC" w:eastAsia="es-EC"/>
              </w:rPr>
              <w:t>Importado</w:t>
            </w:r>
          </w:p>
        </w:tc>
        <w:tc>
          <w:tcPr>
            <w:tcW w:w="1235" w:type="dxa"/>
            <w:shd w:val="clear" w:color="auto" w:fill="E7E6E6" w:themeFill="background2"/>
            <w:vAlign w:val="center"/>
          </w:tcPr>
          <w:p>
            <w:pPr>
              <w:jc w:val="center"/>
              <w:rPr>
                <w:rFonts w:ascii="Times" w:hAnsi="Times" w:eastAsia="Times New Roman" w:cs="Times"/>
                <w:b/>
                <w:color w:val="000000"/>
                <w:sz w:val="16"/>
                <w:szCs w:val="16"/>
                <w:lang w:val="es-EC" w:eastAsia="es-EC"/>
              </w:rPr>
            </w:pPr>
            <w:r>
              <w:rPr>
                <w:rFonts w:ascii="Times" w:hAnsi="Times" w:eastAsia="Times New Roman" w:cs="Times"/>
                <w:b/>
                <w:color w:val="000000"/>
                <w:sz w:val="16"/>
                <w:szCs w:val="16"/>
                <w:lang w:val="es-EC" w:eastAsia="es-EC"/>
              </w:rPr>
              <w:t>Umbral del Procedimiento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313" w:hRule="atLeast"/>
        </w:trPr>
        <w:tc>
          <w:tcPr>
            <w:tcW w:w="543" w:type="dxa"/>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1</w:t>
            </w:r>
          </w:p>
        </w:tc>
        <w:tc>
          <w:tcPr>
            <w:tcW w:w="4699" w:type="dxa"/>
            <w:shd w:val="clear" w:color="auto" w:fill="auto"/>
            <w:vAlign w:val="center"/>
          </w:tcPr>
          <w:p>
            <w:pPr>
              <w:pStyle w:val="9"/>
              <w:spacing w:before="69"/>
              <w:ind w:right="78"/>
              <w:jc w:val="center"/>
              <w:rPr>
                <w:rFonts w:eastAsia="Times New Roman"/>
                <w:sz w:val="20"/>
                <w:szCs w:val="20"/>
                <w:lang w:eastAsia="es-ES"/>
              </w:rPr>
            </w:pPr>
            <w:r>
              <w:rPr>
                <w:rFonts w:eastAsia="Times New Roman"/>
                <w:sz w:val="20"/>
                <w:szCs w:val="20"/>
                <w:lang w:eastAsia="es-ES"/>
              </w:rPr>
              <w:t>“</w:t>
            </w:r>
            <w:r>
              <w:rPr>
                <w:i/>
                <w:color w:val="808080"/>
                <w:sz w:val="20"/>
                <w:szCs w:val="20"/>
              </w:rPr>
              <w:t>CONTRATACION DE PRODUCTOS Y SERVICIOS COMUNICACIONALES PARA DIFUNFIR LAS ACCIONES DE LA UNIVERSIDAD MACIONAL DE LOJA</w:t>
            </w:r>
            <w:r>
              <w:rPr>
                <w:rFonts w:eastAsia="Times New Roman"/>
                <w:sz w:val="20"/>
                <w:szCs w:val="20"/>
                <w:lang w:eastAsia="es-ES"/>
              </w:rPr>
              <w:t>”</w:t>
            </w:r>
          </w:p>
        </w:tc>
        <w:tc>
          <w:tcPr>
            <w:tcW w:w="1233" w:type="dxa"/>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Si el umbral del procedimiento de contratación sea mayor o igual a </w:t>
            </w:r>
            <w:r>
              <w:rPr>
                <w:rFonts w:ascii="Times" w:hAnsi="Times" w:eastAsia="Times New Roman" w:cs="Times"/>
                <w:color w:val="FF0000"/>
                <w:sz w:val="16"/>
                <w:szCs w:val="16"/>
                <w:lang w:val="es-EC" w:eastAsia="es-EC"/>
              </w:rPr>
              <w:t>30.54 % *</w:t>
            </w:r>
          </w:p>
        </w:tc>
        <w:tc>
          <w:tcPr>
            <w:tcW w:w="1233" w:type="dxa"/>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Si el umbral del procedimiento de contratación sea menor </w:t>
            </w:r>
            <w:r>
              <w:rPr>
                <w:rFonts w:ascii="Times" w:hAnsi="Times" w:eastAsia="Times New Roman" w:cs="Times"/>
                <w:color w:val="FF0000"/>
                <w:sz w:val="16"/>
                <w:szCs w:val="16"/>
                <w:lang w:val="es-EC" w:eastAsia="es-EC"/>
              </w:rPr>
              <w:t>30.54 % *</w:t>
            </w:r>
          </w:p>
        </w:tc>
        <w:tc>
          <w:tcPr>
            <w:tcW w:w="1235" w:type="dxa"/>
            <w:shd w:val="clear" w:color="auto" w:fill="auto"/>
            <w:vAlign w:val="center"/>
          </w:tcPr>
          <w:p>
            <w:pPr>
              <w:jc w:val="center"/>
              <w:rPr>
                <w:rFonts w:ascii="Times" w:hAnsi="Times" w:eastAsia="Times New Roman" w:cs="Times"/>
                <w:color w:val="FF0000"/>
                <w:sz w:val="16"/>
                <w:szCs w:val="16"/>
                <w:lang w:val="es-EC" w:eastAsia="es-EC"/>
              </w:rPr>
            </w:pPr>
            <w:r>
              <w:rPr>
                <w:rFonts w:ascii="Times" w:hAnsi="Times" w:eastAsia="Times New Roman" w:cs="Times"/>
                <w:color w:val="FF0000"/>
                <w:sz w:val="16"/>
                <w:szCs w:val="16"/>
                <w:lang w:val="es-EC" w:eastAsia="es-EC"/>
              </w:rPr>
              <w:t>30.54 % *</w:t>
            </w:r>
          </w:p>
          <w:p>
            <w:pPr>
              <w:jc w:val="center"/>
              <w:rPr>
                <w:rFonts w:ascii="Times" w:hAnsi="Times" w:eastAsia="Times New Roman" w:cs="Times"/>
                <w:color w:val="000000"/>
                <w:sz w:val="16"/>
                <w:szCs w:val="16"/>
                <w:lang w:val="es-EC" w:eastAsia="es-EC"/>
              </w:rPr>
            </w:pPr>
          </w:p>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CPC: 891211012</w:t>
            </w:r>
          </w:p>
        </w:tc>
      </w:tr>
    </w:tbl>
    <w:p>
      <w:pPr>
        <w:jc w:val="both"/>
        <w:rPr>
          <w:rFonts w:ascii="Times New Roman" w:hAnsi="Times New Roman" w:eastAsia="Times New Roman" w:cs="Times New Roman"/>
          <w:sz w:val="20"/>
          <w:szCs w:val="20"/>
          <w:lang w:val="es-ES" w:eastAsia="es-ES"/>
        </w:rPr>
      </w:pPr>
    </w:p>
    <w:p>
      <w:pPr>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  Valor tomado del listado de CPC con sus umbrales de VAE, y disponible en la página institucional del SERCOP </w:t>
      </w:r>
      <w:r>
        <w:fldChar w:fldCharType="begin"/>
      </w:r>
      <w:r>
        <w:instrText xml:space="preserve"> HYPERLINK "https://portal.compraspublicas.gob.ec/sercop/valor-agregado-ecuatoriano/" </w:instrText>
      </w:r>
      <w:r>
        <w:fldChar w:fldCharType="separate"/>
      </w:r>
      <w:r>
        <w:rPr>
          <w:rStyle w:val="19"/>
          <w:rFonts w:ascii="Times New Roman" w:hAnsi="Times New Roman" w:eastAsia="Times New Roman" w:cs="Times New Roman"/>
          <w:sz w:val="20"/>
          <w:szCs w:val="20"/>
          <w:lang w:val="es-ES" w:eastAsia="es-ES"/>
        </w:rPr>
        <w:t>https://portal.compraspublicas.gob.ec/sercop/valor-agregado-ecuatoriano/</w:t>
      </w:r>
      <w:r>
        <w:rPr>
          <w:rStyle w:val="19"/>
          <w:rFonts w:ascii="Times New Roman" w:hAnsi="Times New Roman" w:eastAsia="Times New Roman" w:cs="Times New Roman"/>
          <w:sz w:val="20"/>
          <w:szCs w:val="20"/>
          <w:lang w:val="es-ES" w:eastAsia="es-ES"/>
        </w:rPr>
        <w:fldChar w:fldCharType="end"/>
      </w:r>
      <w:r>
        <w:rPr>
          <w:rFonts w:ascii="Times New Roman" w:hAnsi="Times New Roman" w:eastAsia="Times New Roman" w:cs="Times New Roman"/>
          <w:sz w:val="20"/>
          <w:szCs w:val="20"/>
          <w:lang w:val="es-ES" w:eastAsia="es-ES"/>
        </w:rPr>
        <w:t>.</w:t>
      </w:r>
    </w:p>
    <w:p>
      <w:pPr>
        <w:jc w:val="both"/>
        <w:rPr>
          <w:rFonts w:ascii="Times New Roman" w:hAnsi="Times New Roman" w:eastAsia="Times New Roman" w:cs="Times New Roman"/>
          <w:sz w:val="20"/>
          <w:szCs w:val="20"/>
          <w:lang w:val="es-ES" w:eastAsia="es-ES"/>
        </w:rPr>
      </w:pPr>
    </w:p>
    <w:p>
      <w:pPr>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Antes de la adjudicación la Universidad Nacional de Loja actuara conforme lo señalado en el Art. 77 de la Resolución SERCOP-072-2016, en el que se establece que: “[…] Verificación de producción nacional antes de la adjudicación.- Con la finalidad de asegurar el efectivo cumplimiento de las reglas que permitan otorgar preferencias a la producción nacional, las entidades contratantes, de oficio o a petición de parte, podrán verificar únicamente la existencia de una línea de producción, transformación, taller, fábrica o industria dentro del territorio ecuatoriano, propiedad del oferente, que acredite y demuestre la producción de los bienes ofertados dentro del procedimiento de contratación pública. Esta verificación se dará únicamente cuando el oferente declare "NO" en la pregunta contenida en el formulario de "Declaración de Valor Agregado Ecuatoriano de la oferta " que consta en los modelos obligatorios de pliegos de los procedimientos de contratación pública, lo que implica que el oferente produce la totalidad o parte de su oferta. </w:t>
      </w:r>
    </w:p>
    <w:p>
      <w:pPr>
        <w:jc w:val="both"/>
        <w:rPr>
          <w:rFonts w:ascii="Times New Roman" w:hAnsi="Times New Roman" w:eastAsia="Times New Roman" w:cs="Times New Roman"/>
          <w:sz w:val="20"/>
          <w:szCs w:val="20"/>
          <w:lang w:val="es-ES" w:eastAsia="es-ES"/>
        </w:rPr>
      </w:pPr>
    </w:p>
    <w:p>
      <w:pPr>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Esta verificación por parte de la entidad contratante no demostrará ni acreditará que el Valor Agregado Ecuatoriano declarado en la oferta sea verdadero. </w:t>
      </w:r>
    </w:p>
    <w:p>
      <w:pPr>
        <w:jc w:val="both"/>
        <w:rPr>
          <w:rFonts w:ascii="Times New Roman" w:hAnsi="Times New Roman" w:eastAsia="Times New Roman" w:cs="Times New Roman"/>
          <w:sz w:val="20"/>
          <w:szCs w:val="20"/>
          <w:lang w:val="es-ES" w:eastAsia="es-ES"/>
        </w:rPr>
      </w:pPr>
    </w:p>
    <w:p>
      <w:pPr>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 xml:space="preserve">De realizarse esta verificación, la entidad contratante deberá emitir un informe debidamente justificado y motivado de la misma y sus resultados, el que deberá ser publicado dentro de los documentos del procedimiento de contratación pública en el Portal Institucional del Servicio Nacional de Contratación Pública. </w:t>
      </w:r>
    </w:p>
    <w:p>
      <w:pPr>
        <w:jc w:val="both"/>
        <w:rPr>
          <w:rFonts w:ascii="Times New Roman" w:hAnsi="Times New Roman" w:eastAsia="Times New Roman" w:cs="Times New Roman"/>
          <w:sz w:val="20"/>
          <w:szCs w:val="20"/>
          <w:lang w:val="es-ES" w:eastAsia="es-ES"/>
        </w:rPr>
      </w:pPr>
    </w:p>
    <w:p>
      <w:pPr>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De identificarse que la información declarada por el oferente no corresponda a la realidad en cuanto a su condición de productor, la entidad contratante, de manera motivada, lo descalificará del proceso y notificará al Servicio Nacional de Contratación Pública para que se realice la verificación respectiva del Valor Agregado Ecuatoriano de la oferta […]”.</w:t>
      </w:r>
    </w:p>
    <w:p>
      <w:pPr>
        <w:jc w:val="both"/>
        <w:rPr>
          <w:rFonts w:ascii="Times New Roman" w:hAnsi="Times New Roman" w:eastAsia="Times New Roman" w:cs="Times New Roman"/>
          <w:sz w:val="20"/>
          <w:szCs w:val="20"/>
          <w:lang w:val="es-ES" w:eastAsia="es-ES"/>
        </w:rPr>
      </w:pPr>
    </w:p>
    <w:p>
      <w:pPr>
        <w:rPr>
          <w:rFonts w:ascii="Times New Roman" w:hAnsi="Times New Roman" w:eastAsia="Times New Roman" w:cs="Times New Roman"/>
          <w:b/>
          <w:color w:val="F4B183" w:themeColor="accent2" w:themeTint="99"/>
          <w:sz w:val="20"/>
          <w:szCs w:val="20"/>
          <w14:textFill>
            <w14:solidFill>
              <w14:schemeClr w14:val="accent2">
                <w14:lumMod w14:val="60000"/>
                <w14:lumOff w14:val="40000"/>
              </w14:schemeClr>
            </w14:solidFill>
          </w14:textFill>
        </w:rPr>
      </w:pPr>
      <w:r>
        <w:rPr>
          <w:rFonts w:ascii="Times New Roman" w:hAnsi="Times New Roman" w:eastAsia="Times New Roman" w:cs="Times New Roman"/>
          <w:b/>
          <w:color w:val="F4B183" w:themeColor="accent2" w:themeTint="99"/>
          <w:sz w:val="20"/>
          <w:szCs w:val="20"/>
          <w14:textFill>
            <w14:solidFill>
              <w14:schemeClr w14:val="accent2">
                <w14:lumMod w14:val="60000"/>
                <w14:lumOff w14:val="40000"/>
              </w14:schemeClr>
            </w14:solidFill>
          </w14:textFill>
        </w:rPr>
        <w:t>Ver Anexo. Adjuntar captura pantalla MFC-Umbral del Procedimiento.</w:t>
      </w:r>
    </w:p>
    <w:p>
      <w:pPr>
        <w:rPr>
          <w:rFonts w:ascii="Times New Roman" w:hAnsi="Times New Roman" w:eastAsia="Times New Roman" w:cs="Times New Roman"/>
          <w:b/>
          <w:color w:val="F4B183" w:themeColor="accent2" w:themeTint="99"/>
          <w:sz w:val="20"/>
          <w:szCs w:val="20"/>
          <w14:textFill>
            <w14:solidFill>
              <w14:schemeClr w14:val="accent2">
                <w14:lumMod w14:val="60000"/>
                <w14:lumOff w14:val="40000"/>
              </w14:schemeClr>
            </w14:solidFill>
          </w14:textFill>
        </w:rPr>
      </w:pPr>
      <w:r>
        <w:drawing>
          <wp:anchor distT="0" distB="0" distL="114300" distR="114300" simplePos="0" relativeHeight="251658240" behindDoc="1" locked="0" layoutInCell="1" allowOverlap="1">
            <wp:simplePos x="0" y="0"/>
            <wp:positionH relativeFrom="margin">
              <wp:align>left</wp:align>
            </wp:positionH>
            <wp:positionV relativeFrom="paragraph">
              <wp:posOffset>216535</wp:posOffset>
            </wp:positionV>
            <wp:extent cx="5753100" cy="733425"/>
            <wp:effectExtent l="0" t="0" r="0" b="9525"/>
            <wp:wrapTight wrapText="bothSides">
              <wp:wrapPolygon>
                <wp:start x="0" y="0"/>
                <wp:lineTo x="0" y="21319"/>
                <wp:lineTo x="21528" y="21319"/>
                <wp:lineTo x="2152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53100" cy="733425"/>
                    </a:xfrm>
                    <a:prstGeom prst="rect">
                      <a:avLst/>
                    </a:prstGeom>
                    <a:ln>
                      <a:noFill/>
                    </a:ln>
                  </pic:spPr>
                </pic:pic>
              </a:graphicData>
            </a:graphic>
          </wp:anchor>
        </w:drawing>
      </w:r>
    </w:p>
    <w:p>
      <w:pPr>
        <w:rPr>
          <w:rFonts w:ascii="Times New Roman" w:hAnsi="Times New Roman" w:eastAsia="Times New Roman" w:cs="Times New Roman"/>
          <w:b/>
          <w:color w:val="F4B183" w:themeColor="accent2" w:themeTint="99"/>
          <w:sz w:val="20"/>
          <w:szCs w:val="20"/>
          <w:lang w:val="es-ES" w:eastAsia="es-ES"/>
          <w14:textFill>
            <w14:solidFill>
              <w14:schemeClr w14:val="accent2">
                <w14:lumMod w14:val="60000"/>
                <w14:lumOff w14:val="40000"/>
              </w14:schemeClr>
            </w14:solidFill>
          </w14:textFill>
        </w:rPr>
      </w:pPr>
    </w:p>
    <w:p>
      <w:pPr>
        <w:pStyle w:val="31"/>
        <w:widowControl w:val="0"/>
        <w:numPr>
          <w:ilvl w:val="0"/>
          <w:numId w:val="5"/>
        </w:numPr>
        <w:autoSpaceDE w:val="0"/>
        <w:autoSpaceDN w:val="0"/>
        <w:adjustRightInd w:val="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Facilidad de adquisición en el mercado.</w:t>
      </w: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Para considerar si existe facilidad para conseguir en el mercado los bienes y servicios antes indicados y que constituyen parte integral e integra del objeto de contratación: “CONTRATACION DE PRODUCTOS Y SERVICIOS COMUNICACIONALES PARA DIFUNFIR LAS ACCIONES DE LA UNIVERSIDAD MACIONAL DE LOJA”, la Dirección de Comunicación e Imagen Institucional, a través de los funcionarios responsables del proceso pudo obtener ________ (   ) proformas en el mercado nacional y local  que podrían satisfacer la necesidad institucional. </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Adicionalmente utilizando las herramientas informáticas otorgadas y establecidas por el SERCOP (Inteligencia de Negocio – Análisis SERCOP) y considerando el CPC (Clasificador Central de Producto), del objeto de la contratación “CONTRATACION DE PRODUCTOS Y SERVICIOS COMUNICACIONALES PARA DIFUNFIR LAS ACCIONES DE LA UNIVERSIDAD MACIONAL DE LOJA”, registrado en el PAC de la Universidad Nacional de Loja, en el cual se generará la convocatoria/invitación del proceso a través del Sistema Nacional de Contratación Pública – SOCE- se evidencia que existen proceso  adjudicados durante los años 2016, 2017 y 2018 que en total alcanzan los USD. xxxxxxx con lo cual podríamos establecer la facilidad de su adquisición en el mercado lo cual se complementa con la búsqueda de procesos adjudicados, finalizados o en ejecución del contrato con el CPC  </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fldChar w:fldCharType="begin"/>
      </w:r>
      <w:r>
        <w:instrText xml:space="preserve"> HYPERLINK "http://biserverrh65.compraspublicas.gob.ec:8080/incop/bi.jsp?tipo=EX01" \t "_blank" </w:instrText>
      </w:r>
      <w:r>
        <w:fldChar w:fldCharType="separate"/>
      </w:r>
      <w:r>
        <w:rPr>
          <w:rFonts w:ascii="Times New Roman" w:hAnsi="Times New Roman" w:eastAsia="Times New Roman" w:cs="Times New Roman"/>
          <w:sz w:val="20"/>
          <w:szCs w:val="20"/>
        </w:rPr>
        <w:t>http://biserverrh65.compraspublicas.gob.ec:8080/incop/bi.jsp?tipo=EX01</w:t>
      </w:r>
      <w:r>
        <w:rPr>
          <w:rFonts w:ascii="Times New Roman" w:hAnsi="Times New Roman" w:eastAsia="Times New Roman" w:cs="Times New Roman"/>
          <w:sz w:val="20"/>
          <w:szCs w:val="20"/>
        </w:rPr>
        <w:fldChar w:fldCharType="end"/>
      </w:r>
      <w:r>
        <w:rPr>
          <w:rFonts w:ascii="Times New Roman" w:hAnsi="Times New Roman" w:eastAsia="Times New Roman" w:cs="Times New Roman"/>
          <w:sz w:val="20"/>
          <w:szCs w:val="20"/>
        </w:rPr>
        <w:t>.</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O también se puede hacer la búsqueda de procesos adjudicados – registro de contratos o finalizados a través del siguiente link.</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https://www.compraspublicas.gob.ec/ProcesoContratacion/compras/PC/buscarProceso.cpe?sg=1 </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Efectuar la búsqueda en periodos de seis meses.</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640" cy="22675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6"/>
                    <a:srcRect/>
                    <a:stretch>
                      <a:fillRect/>
                    </a:stretch>
                  </pic:blipFill>
                  <pic:spPr>
                    <a:xfrm>
                      <a:off x="0" y="0"/>
                      <a:ext cx="5756275" cy="2268065"/>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pStyle w:val="31"/>
        <w:widowControl w:val="0"/>
        <w:numPr>
          <w:ilvl w:val="0"/>
          <w:numId w:val="5"/>
        </w:numPr>
        <w:autoSpaceDE w:val="0"/>
        <w:autoSpaceDN w:val="0"/>
        <w:adjustRightInd w:val="0"/>
        <w:jc w:val="both"/>
        <w:rPr>
          <w:rFonts w:ascii="Times New Roman" w:hAnsi="Times New Roman" w:eastAsia="Times New Roman" w:cs="Times New Roman"/>
          <w:sz w:val="20"/>
          <w:szCs w:val="20"/>
        </w:rPr>
      </w:pPr>
      <w:r>
        <w:rPr>
          <w:rFonts w:ascii="Times New Roman" w:hAnsi="Times New Roman" w:eastAsia="Times New Roman" w:cs="Times New Roman"/>
          <w:b/>
          <w:sz w:val="20"/>
          <w:szCs w:val="20"/>
        </w:rPr>
        <w:t>Número de oferentes.</w:t>
      </w:r>
      <w:r>
        <w:t xml:space="preserve"> </w:t>
      </w:r>
    </w:p>
    <w:p>
      <w:pPr>
        <w:widowControl w:val="0"/>
        <w:autoSpaceDE w:val="0"/>
        <w:autoSpaceDN w:val="0"/>
        <w:adjustRightInd w:val="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Para cumplir con esta disposición normativa la Universidad Nacional de Loja, en sus procedimientos de contratación pública, considerara la existencia de proveedores registrados y habilitados en el RUP a nivel nacional y local y que cuenten con el CPC en el cual se publicará el proceso de contratación en el Sistema Nacional de Contratación Pública, con el análisis al número de proveedores habilitados en el CPC  seleccionado por la institución se podrá establecer y conocer el número de proveedores que podrían tener  la capacidad de participar y proveer los bienes y servicios que son parte del objeto de contratación, actividad que se cumplirá a través de una consulta a través del SOCE.</w:t>
      </w:r>
    </w:p>
    <w:p>
      <w:pPr>
        <w:widowControl w:val="0"/>
        <w:autoSpaceDE w:val="0"/>
        <w:autoSpaceDN w:val="0"/>
        <w:adjustRightInd w:val="0"/>
        <w:jc w:val="both"/>
        <w:rPr>
          <w:rFonts w:ascii="Times New Roman" w:hAnsi="Times New Roman" w:eastAsia="Times New Roman" w:cs="Times New Roman"/>
          <w:sz w:val="20"/>
          <w:szCs w:val="20"/>
        </w:rPr>
      </w:pPr>
    </w:p>
    <w:p>
      <w:pPr>
        <w:widowControl w:val="0"/>
        <w:autoSpaceDE w:val="0"/>
        <w:autoSpaceDN w:val="0"/>
        <w:adjustRightInd w:val="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El CPC a consultar y analizar será el mismo que consta registrado en el PAC – 2020 y a nivel 5 conforme la herramienta “Búsqueda de Proveedores” del Sistema Oficial de Contratación Pública.</w:t>
      </w:r>
    </w:p>
    <w:p>
      <w:pPr>
        <w:widowControl w:val="0"/>
        <w:autoSpaceDE w:val="0"/>
        <w:autoSpaceDN w:val="0"/>
        <w:adjustRightInd w:val="0"/>
        <w:jc w:val="both"/>
        <w:rPr>
          <w:rFonts w:ascii="Times New Roman" w:hAnsi="Times New Roman" w:eastAsia="Times New Roman" w:cs="Times New Roman"/>
          <w:sz w:val="20"/>
          <w:szCs w:val="20"/>
        </w:rPr>
      </w:pPr>
    </w:p>
    <w:tbl>
      <w:tblPr>
        <w:tblStyle w:val="27"/>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2170"/>
        <w:gridCol w:w="1418"/>
        <w:gridCol w:w="1794"/>
        <w:gridCol w:w="1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3" w:hRule="atLeast"/>
        </w:trPr>
        <w:tc>
          <w:tcPr>
            <w:tcW w:w="1794" w:type="dxa"/>
            <w:shd w:val="clear" w:color="auto" w:fill="E7E6E6" w:themeFill="background2"/>
          </w:tcPr>
          <w:p>
            <w:pPr>
              <w:jc w:val="center"/>
              <w:rPr>
                <w:rFonts w:ascii="Times New Roman" w:hAnsi="Times New Roman" w:eastAsia="Times New Roman" w:cs="Times New Roman"/>
                <w:b/>
                <w:sz w:val="16"/>
                <w:szCs w:val="16"/>
                <w:lang/>
              </w:rPr>
            </w:pPr>
            <w:r>
              <w:rPr>
                <w:rFonts w:ascii="Times New Roman" w:hAnsi="Times New Roman" w:eastAsia="Times New Roman" w:cs="Times New Roman"/>
                <w:sz w:val="20"/>
                <w:szCs w:val="20"/>
                <w:lang w:val="es-ES"/>
              </w:rPr>
              <w:t xml:space="preserve"> </w:t>
            </w:r>
            <w:r>
              <w:rPr>
                <w:rFonts w:ascii="Times New Roman" w:hAnsi="Times New Roman" w:eastAsia="Times New Roman" w:cs="Times New Roman"/>
                <w:b/>
                <w:sz w:val="16"/>
                <w:szCs w:val="16"/>
                <w:lang/>
              </w:rPr>
              <w:t>CPC objeto de contratación</w:t>
            </w:r>
          </w:p>
          <w:p>
            <w:pPr>
              <w:jc w:val="center"/>
              <w:rPr>
                <w:rFonts w:ascii="Times New Roman" w:hAnsi="Times New Roman" w:eastAsia="Times New Roman" w:cs="Times New Roman"/>
                <w:b/>
                <w:sz w:val="16"/>
                <w:szCs w:val="16"/>
                <w:lang w:val="es-ES"/>
              </w:rPr>
            </w:pPr>
          </w:p>
        </w:tc>
        <w:tc>
          <w:tcPr>
            <w:tcW w:w="2170" w:type="dxa"/>
            <w:shd w:val="clear" w:color="auto" w:fill="E7E6E6" w:themeFill="background2"/>
          </w:tcPr>
          <w:p>
            <w:pPr>
              <w:jc w:val="center"/>
              <w:rPr>
                <w:rFonts w:ascii="Times New Roman" w:hAnsi="Times New Roman" w:eastAsia="Times New Roman" w:cs="Times New Roman"/>
                <w:b/>
                <w:sz w:val="16"/>
                <w:szCs w:val="16"/>
                <w:lang w:val="es-ES"/>
              </w:rPr>
            </w:pPr>
            <w:r>
              <w:rPr>
                <w:rFonts w:ascii="Times New Roman" w:hAnsi="Times New Roman" w:eastAsia="Times New Roman" w:cs="Times New Roman"/>
                <w:b/>
                <w:sz w:val="16"/>
                <w:szCs w:val="16"/>
                <w:lang w:val="es-ES"/>
              </w:rPr>
              <w:t>CPC_Nivel 5.</w:t>
            </w:r>
          </w:p>
          <w:p>
            <w:pPr>
              <w:jc w:val="center"/>
              <w:rPr>
                <w:rFonts w:ascii="Times New Roman" w:hAnsi="Times New Roman" w:eastAsia="Times New Roman" w:cs="Times New Roman"/>
                <w:b/>
                <w:sz w:val="16"/>
                <w:szCs w:val="16"/>
                <w:lang w:val="es-ES"/>
              </w:rPr>
            </w:pPr>
          </w:p>
          <w:p>
            <w:pPr>
              <w:jc w:val="center"/>
              <w:rPr>
                <w:rFonts w:ascii="Times New Roman" w:hAnsi="Times New Roman" w:eastAsia="Times New Roman" w:cs="Times New Roman"/>
                <w:b/>
                <w:sz w:val="16"/>
                <w:szCs w:val="16"/>
                <w:lang w:val="es-ES"/>
              </w:rPr>
            </w:pPr>
            <w:r>
              <w:rPr>
                <w:rFonts w:ascii="Times New Roman" w:hAnsi="Times New Roman" w:eastAsia="Times New Roman" w:cs="Times New Roman"/>
                <w:b/>
                <w:sz w:val="16"/>
                <w:szCs w:val="16"/>
                <w:lang w:val="es-ES"/>
              </w:rPr>
              <w:t>89121</w:t>
            </w:r>
          </w:p>
        </w:tc>
        <w:tc>
          <w:tcPr>
            <w:tcW w:w="1418" w:type="dxa"/>
            <w:shd w:val="clear" w:color="auto" w:fill="E7E6E6" w:themeFill="background2"/>
          </w:tcPr>
          <w:p>
            <w:pPr>
              <w:jc w:val="center"/>
              <w:rPr>
                <w:rFonts w:ascii="Times New Roman" w:hAnsi="Times New Roman" w:eastAsia="Times New Roman" w:cs="Times New Roman"/>
                <w:b/>
                <w:sz w:val="16"/>
                <w:szCs w:val="16"/>
                <w:lang w:val="es-ES"/>
              </w:rPr>
            </w:pPr>
            <w:r>
              <w:rPr>
                <w:rFonts w:ascii="Times New Roman" w:hAnsi="Times New Roman" w:eastAsia="Times New Roman" w:cs="Times New Roman"/>
                <w:b/>
                <w:sz w:val="16"/>
                <w:szCs w:val="16"/>
                <w:lang w:val="es-ES"/>
              </w:rPr>
              <w:t>CPC_Nivel 9.</w:t>
            </w:r>
          </w:p>
          <w:p>
            <w:pPr>
              <w:jc w:val="center"/>
              <w:rPr>
                <w:rFonts w:ascii="Times New Roman" w:hAnsi="Times New Roman" w:eastAsia="Times New Roman" w:cs="Times New Roman"/>
                <w:b/>
                <w:sz w:val="16"/>
                <w:szCs w:val="16"/>
                <w:lang w:val="es-ES"/>
              </w:rPr>
            </w:pPr>
          </w:p>
          <w:p>
            <w:pPr>
              <w:jc w:val="center"/>
              <w:rPr>
                <w:rFonts w:ascii="Times New Roman" w:hAnsi="Times New Roman" w:eastAsia="Times New Roman" w:cs="Times New Roman"/>
                <w:b/>
                <w:sz w:val="16"/>
                <w:szCs w:val="16"/>
                <w:lang w:val="es-ES"/>
              </w:rPr>
            </w:pPr>
            <w:r>
              <w:rPr>
                <w:rFonts w:ascii="Times New Roman" w:hAnsi="Times New Roman" w:eastAsia="Times New Roman" w:cs="Times New Roman"/>
                <w:b/>
                <w:sz w:val="16"/>
                <w:szCs w:val="16"/>
                <w:lang w:val="es-ES"/>
              </w:rPr>
              <w:t>891211012</w:t>
            </w:r>
          </w:p>
          <w:p>
            <w:pPr>
              <w:jc w:val="center"/>
              <w:rPr>
                <w:rFonts w:ascii="Times New Roman" w:hAnsi="Times New Roman" w:eastAsia="Times New Roman" w:cs="Times New Roman"/>
                <w:b/>
                <w:sz w:val="16"/>
                <w:szCs w:val="16"/>
                <w:lang w:val="es-ES"/>
              </w:rPr>
            </w:pPr>
          </w:p>
        </w:tc>
        <w:tc>
          <w:tcPr>
            <w:tcW w:w="1794" w:type="dxa"/>
            <w:shd w:val="clear" w:color="auto" w:fill="E7E6E6" w:themeFill="background2"/>
          </w:tcPr>
          <w:p>
            <w:pPr>
              <w:jc w:val="center"/>
              <w:rPr>
                <w:rFonts w:ascii="Times New Roman" w:hAnsi="Times New Roman" w:eastAsia="Times New Roman" w:cs="Times New Roman"/>
                <w:b/>
                <w:sz w:val="16"/>
                <w:szCs w:val="16"/>
                <w:lang w:val="es-ES"/>
              </w:rPr>
            </w:pPr>
            <w:r>
              <w:rPr>
                <w:rFonts w:ascii="Times New Roman" w:hAnsi="Times New Roman" w:eastAsia="Times New Roman" w:cs="Times New Roman"/>
                <w:b/>
                <w:sz w:val="16"/>
                <w:szCs w:val="16"/>
                <w:lang/>
              </w:rPr>
              <w:t>Número de proveedores habilitados categorizados por CPC objeto de contratación – SOCE – PAC a nivel nacional SNCP</w:t>
            </w:r>
          </w:p>
        </w:tc>
        <w:tc>
          <w:tcPr>
            <w:tcW w:w="1796" w:type="dxa"/>
            <w:shd w:val="clear" w:color="auto" w:fill="E7E6E6" w:themeFill="background2"/>
          </w:tcPr>
          <w:p>
            <w:pPr>
              <w:jc w:val="center"/>
              <w:rPr>
                <w:rFonts w:ascii="Times New Roman" w:hAnsi="Times New Roman" w:eastAsia="Times New Roman" w:cs="Times New Roman"/>
                <w:b/>
                <w:sz w:val="16"/>
                <w:szCs w:val="16"/>
                <w:lang/>
              </w:rPr>
            </w:pPr>
            <w:r>
              <w:rPr>
                <w:rFonts w:ascii="Times New Roman" w:hAnsi="Times New Roman" w:eastAsia="Times New Roman" w:cs="Times New Roman"/>
                <w:b/>
                <w:sz w:val="16"/>
                <w:szCs w:val="16"/>
                <w:lang/>
              </w:rPr>
              <w:t>Número de proveedores habilitados y categorizaos en el CPC objeto e de la contratación nivel de Provincia y Cantón:</w:t>
            </w:r>
          </w:p>
          <w:p>
            <w:pPr>
              <w:jc w:val="center"/>
              <w:rPr>
                <w:rFonts w:ascii="Times New Roman" w:hAnsi="Times New Roman" w:eastAsia="Times New Roman" w:cs="Times New Roman"/>
                <w:b/>
                <w:sz w:val="16"/>
                <w:szCs w:val="16"/>
                <w:lang w:val="es-E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2" w:hRule="atLeast"/>
        </w:trPr>
        <w:tc>
          <w:tcPr>
            <w:tcW w:w="1794" w:type="dxa"/>
          </w:tcPr>
          <w:p>
            <w:pPr>
              <w:jc w:val="center"/>
              <w:rPr>
                <w:rFonts w:ascii="Times New Roman" w:hAnsi="Times New Roman" w:eastAsia="Times New Roman" w:cs="Times New Roman"/>
                <w:sz w:val="16"/>
                <w:szCs w:val="16"/>
                <w:lang w:val="es-ES"/>
              </w:rPr>
            </w:pPr>
          </w:p>
          <w:p>
            <w:pPr>
              <w:jc w:val="center"/>
              <w:rPr>
                <w:rFonts w:ascii="Times New Roman" w:hAnsi="Times New Roman" w:eastAsia="Times New Roman" w:cs="Times New Roman"/>
                <w:sz w:val="16"/>
                <w:szCs w:val="16"/>
                <w:lang w:val="es-ES"/>
              </w:rPr>
            </w:pPr>
          </w:p>
          <w:p>
            <w:pPr>
              <w:jc w:val="center"/>
              <w:rPr>
                <w:rFonts w:ascii="Times New Roman" w:hAnsi="Times New Roman" w:eastAsia="Times New Roman" w:cs="Times New Roman"/>
                <w:b/>
                <w:sz w:val="16"/>
                <w:szCs w:val="16"/>
                <w:lang w:val="es-ES"/>
              </w:rPr>
            </w:pPr>
            <w:r>
              <w:rPr>
                <w:rFonts w:ascii="Times New Roman" w:hAnsi="Times New Roman" w:eastAsia="Times New Roman" w:cs="Times New Roman"/>
                <w:b/>
                <w:sz w:val="16"/>
                <w:szCs w:val="16"/>
                <w:lang w:val="es-ES"/>
              </w:rPr>
              <w:t>891211012</w:t>
            </w:r>
          </w:p>
        </w:tc>
        <w:tc>
          <w:tcPr>
            <w:tcW w:w="2170" w:type="dxa"/>
          </w:tcPr>
          <w:p>
            <w:pPr>
              <w:jc w:val="both"/>
              <w:rPr>
                <w:rFonts w:ascii="Times New Roman" w:hAnsi="Times New Roman" w:eastAsia="Times New Roman" w:cs="Times New Roman"/>
                <w:sz w:val="16"/>
                <w:szCs w:val="16"/>
                <w:lang w:val="es-ES"/>
              </w:rPr>
            </w:pPr>
            <w:r>
              <w:rPr>
                <w:rFonts w:ascii="Times New Roman" w:hAnsi="Times New Roman" w:eastAsia="Times New Roman" w:cs="Times New Roman"/>
                <w:sz w:val="16"/>
                <w:szCs w:val="16"/>
                <w:lang w:val="es-ES"/>
              </w:rPr>
              <w:t>SERVICIOS DE IMPRENTA Y SERVICIOS RELACIONADOS CON LA IMPRENTA, A COMISION O POR CONTRATO</w:t>
            </w:r>
          </w:p>
        </w:tc>
        <w:tc>
          <w:tcPr>
            <w:tcW w:w="1418" w:type="dxa"/>
          </w:tcPr>
          <w:p>
            <w:pPr>
              <w:jc w:val="center"/>
              <w:rPr>
                <w:rFonts w:ascii="Times New Roman" w:hAnsi="Times New Roman" w:eastAsia="Times New Roman" w:cs="Times New Roman"/>
                <w:sz w:val="16"/>
                <w:szCs w:val="16"/>
                <w:lang w:val="es-ES"/>
              </w:rPr>
            </w:pPr>
            <w:r>
              <w:rPr>
                <w:rFonts w:ascii="Times New Roman" w:hAnsi="Times New Roman" w:eastAsia="Times New Roman" w:cs="Times New Roman"/>
                <w:sz w:val="16"/>
                <w:szCs w:val="16"/>
                <w:lang w:val="es-ES"/>
              </w:rPr>
              <w:t>SERVICIOS DE IMPRESION INCLUIDO EL MATERIAL DE ACUERDO A FORMATOS ESTABLECIDOS</w:t>
            </w:r>
          </w:p>
        </w:tc>
        <w:tc>
          <w:tcPr>
            <w:tcW w:w="1794" w:type="dxa"/>
          </w:tcPr>
          <w:p>
            <w:pPr>
              <w:jc w:val="center"/>
              <w:rPr>
                <w:rFonts w:ascii="Times New Roman" w:hAnsi="Times New Roman" w:eastAsia="Times New Roman" w:cs="Times New Roman"/>
                <w:sz w:val="16"/>
                <w:szCs w:val="16"/>
                <w:lang w:val="es-ES"/>
              </w:rPr>
            </w:pPr>
            <w:r>
              <w:rPr>
                <w:rFonts w:ascii="Times New Roman" w:hAnsi="Times New Roman" w:eastAsia="Times New Roman" w:cs="Times New Roman"/>
                <w:sz w:val="16"/>
                <w:szCs w:val="16"/>
                <w:lang w:val="es-ES"/>
              </w:rPr>
              <w:t>8285 proveedores habilitados</w:t>
            </w:r>
          </w:p>
          <w:p>
            <w:pPr>
              <w:jc w:val="center"/>
              <w:rPr>
                <w:rFonts w:ascii="Times New Roman" w:hAnsi="Times New Roman" w:eastAsia="Times New Roman" w:cs="Times New Roman"/>
                <w:sz w:val="16"/>
                <w:szCs w:val="16"/>
                <w:lang w:val="es-ES"/>
              </w:rPr>
            </w:pPr>
          </w:p>
        </w:tc>
        <w:tc>
          <w:tcPr>
            <w:tcW w:w="1796" w:type="dxa"/>
          </w:tcPr>
          <w:p>
            <w:pPr>
              <w:jc w:val="center"/>
              <w:rPr>
                <w:rFonts w:ascii="Times New Roman" w:hAnsi="Times New Roman" w:eastAsia="Times New Roman" w:cs="Times New Roman"/>
                <w:sz w:val="16"/>
                <w:szCs w:val="16"/>
                <w:lang/>
              </w:rPr>
            </w:pPr>
            <w:r>
              <w:rPr>
                <w:rFonts w:ascii="Times New Roman" w:hAnsi="Times New Roman" w:eastAsia="Times New Roman" w:cs="Times New Roman"/>
                <w:sz w:val="16"/>
                <w:szCs w:val="16"/>
                <w:lang/>
              </w:rPr>
              <w:t>Provincia: Loja</w:t>
            </w:r>
          </w:p>
          <w:p>
            <w:pPr>
              <w:jc w:val="center"/>
              <w:rPr>
                <w:rFonts w:ascii="Times New Roman" w:hAnsi="Times New Roman" w:eastAsia="Times New Roman" w:cs="Times New Roman"/>
                <w:sz w:val="16"/>
                <w:szCs w:val="16"/>
                <w:lang/>
              </w:rPr>
            </w:pPr>
            <w:r>
              <w:rPr>
                <w:rFonts w:ascii="Times New Roman" w:hAnsi="Times New Roman" w:eastAsia="Times New Roman" w:cs="Times New Roman"/>
                <w:sz w:val="16"/>
                <w:szCs w:val="16"/>
                <w:lang/>
              </w:rPr>
              <w:t>Cantón Loja</w:t>
            </w:r>
          </w:p>
          <w:p>
            <w:pPr>
              <w:jc w:val="center"/>
              <w:rPr>
                <w:rFonts w:ascii="Times New Roman" w:hAnsi="Times New Roman" w:eastAsia="Times New Roman" w:cs="Times New Roman"/>
                <w:sz w:val="16"/>
                <w:szCs w:val="16"/>
                <w:lang w:val="es-ES"/>
              </w:rPr>
            </w:pPr>
          </w:p>
          <w:p>
            <w:pPr>
              <w:jc w:val="center"/>
              <w:rPr>
                <w:rFonts w:ascii="Times New Roman" w:hAnsi="Times New Roman" w:eastAsia="Times New Roman" w:cs="Times New Roman"/>
                <w:sz w:val="16"/>
                <w:szCs w:val="16"/>
                <w:lang w:val="es-ES"/>
              </w:rPr>
            </w:pPr>
            <w:r>
              <w:rPr>
                <w:rFonts w:ascii="Times New Roman" w:hAnsi="Times New Roman" w:eastAsia="Times New Roman" w:cs="Times New Roman"/>
                <w:sz w:val="16"/>
                <w:szCs w:val="16"/>
                <w:lang w:val="es-ES"/>
              </w:rPr>
              <w:t>139 proveedores</w:t>
            </w:r>
          </w:p>
          <w:p>
            <w:pPr>
              <w:jc w:val="both"/>
              <w:rPr>
                <w:rFonts w:ascii="Times New Roman" w:hAnsi="Times New Roman" w:eastAsia="Times New Roman" w:cs="Times New Roman"/>
                <w:sz w:val="16"/>
                <w:szCs w:val="16"/>
                <w:lang w:val="es-ES"/>
              </w:rPr>
            </w:pPr>
          </w:p>
        </w:tc>
      </w:tr>
    </w:tbl>
    <w:p>
      <w:pPr>
        <w:jc w:val="both"/>
        <w:rPr>
          <w:rFonts w:ascii="Times New Roman" w:hAnsi="Times New Roman" w:eastAsia="Times New Roman" w:cs="Times New Roman"/>
          <w:sz w:val="20"/>
          <w:szCs w:val="20"/>
        </w:rPr>
      </w:pPr>
    </w:p>
    <w:p>
      <w:pPr>
        <w:rPr>
          <w:rFonts w:ascii="Times New Roman" w:hAnsi="Times New Roman" w:eastAsia="Times New Roman" w:cs="Times New Roman"/>
          <w:b/>
          <w:sz w:val="20"/>
          <w:szCs w:val="20"/>
        </w:rPr>
      </w:pPr>
    </w:p>
    <w:p>
      <w:pPr>
        <w:jc w:val="center"/>
        <w:rPr>
          <w:rFonts w:ascii="Times New Roman" w:hAnsi="Times New Roman" w:eastAsia="Times New Roman" w:cs="Times New Roman"/>
          <w:b/>
          <w:sz w:val="20"/>
          <w:szCs w:val="20"/>
        </w:rPr>
      </w:pPr>
      <w:bookmarkStart w:id="6" w:name="_GoBack"/>
      <w:r>
        <w:drawing>
          <wp:inline distT="0" distB="0" distL="0" distR="0">
            <wp:extent cx="5027930" cy="2581910"/>
            <wp:effectExtent l="0" t="0" r="127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7"/>
                    <a:srcRect/>
                    <a:stretch>
                      <a:fillRect/>
                    </a:stretch>
                  </pic:blipFill>
                  <pic:spPr>
                    <a:xfrm>
                      <a:off x="0" y="0"/>
                      <a:ext cx="5036867" cy="2587012"/>
                    </a:xfrm>
                    <a:prstGeom prst="rect">
                      <a:avLst/>
                    </a:prstGeom>
                    <a:ln>
                      <a:noFill/>
                    </a:ln>
                  </pic:spPr>
                </pic:pic>
              </a:graphicData>
            </a:graphic>
          </wp:inline>
        </w:drawing>
      </w:r>
      <w:bookmarkEnd w:id="6"/>
    </w:p>
    <w:p>
      <w:pPr>
        <w:rPr>
          <w:rFonts w:ascii="Times New Roman" w:hAnsi="Times New Roman" w:eastAsia="Times New Roman" w:cs="Times New Roman"/>
          <w:b/>
          <w:sz w:val="20"/>
          <w:szCs w:val="20"/>
        </w:rPr>
      </w:pPr>
    </w:p>
    <w:p>
      <w:pPr>
        <w:jc w:val="center"/>
        <w:rPr>
          <w:rFonts w:ascii="Times New Roman" w:hAnsi="Times New Roman" w:eastAsia="Times New Roman" w:cs="Times New Roman"/>
          <w:b/>
          <w:sz w:val="20"/>
          <w:szCs w:val="20"/>
        </w:rPr>
      </w:pPr>
      <w:r>
        <w:drawing>
          <wp:inline distT="0" distB="0" distL="0" distR="0">
            <wp:extent cx="5172710" cy="267017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8"/>
                    <a:srcRect r="-14"/>
                    <a:stretch>
                      <a:fillRect/>
                    </a:stretch>
                  </pic:blipFill>
                  <pic:spPr>
                    <a:xfrm>
                      <a:off x="0" y="0"/>
                      <a:ext cx="5191762" cy="2680163"/>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5185410" cy="2487930"/>
            <wp:effectExtent l="0" t="0" r="1524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9"/>
                    <a:srcRect/>
                    <a:stretch>
                      <a:fillRect/>
                    </a:stretch>
                  </pic:blipFill>
                  <pic:spPr>
                    <a:xfrm>
                      <a:off x="0" y="0"/>
                      <a:ext cx="5195017" cy="2487930"/>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5204460" cy="2543810"/>
            <wp:effectExtent l="0" t="0" r="1524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0"/>
                    <a:srcRect/>
                    <a:stretch>
                      <a:fillRect/>
                    </a:stretch>
                  </pic:blipFill>
                  <pic:spPr>
                    <a:xfrm>
                      <a:off x="0" y="0"/>
                      <a:ext cx="5224571" cy="2543810"/>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Fuente: https://www.compraspublicas.gob.ec/ProcesoContratacion/compras/EP/BusquedaProveedorCpc.cpe# al 16 de marzo de 2020.</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rPr>
          <w:rFonts w:ascii="Times New Roman" w:hAnsi="Times New Roman" w:eastAsia="Times New Roman" w:cs="Times New Roman"/>
          <w:b/>
          <w:sz w:val="20"/>
          <w:szCs w:val="20"/>
        </w:rPr>
      </w:pPr>
    </w:p>
    <w:p>
      <w:pPr>
        <w:pStyle w:val="31"/>
        <w:widowControl w:val="0"/>
        <w:numPr>
          <w:ilvl w:val="0"/>
          <w:numId w:val="5"/>
        </w:numPr>
        <w:autoSpaceDE w:val="0"/>
        <w:autoSpaceDN w:val="0"/>
        <w:adjustRightInd w:val="0"/>
        <w:jc w:val="both"/>
        <w:rPr>
          <w:rFonts w:ascii="Times New Roman" w:hAnsi="Times New Roman" w:eastAsia="Times New Roman" w:cs="Times New Roman"/>
          <w:b/>
          <w:sz w:val="20"/>
          <w:szCs w:val="20"/>
        </w:rPr>
      </w:pPr>
      <w:r>
        <w:rPr>
          <w:rFonts w:ascii="Times New Roman" w:hAnsi="Times New Roman" w:eastAsia="Times New Roman" w:cs="Times New Roman"/>
          <w:b/>
          <w:sz w:val="20"/>
          <w:szCs w:val="20"/>
        </w:rPr>
        <w:t>Riesgo cambiario en caso de que el precio no esté expresado en dólares.</w:t>
      </w:r>
    </w:p>
    <w:p>
      <w:pPr>
        <w:widowControl w:val="0"/>
        <w:autoSpaceDE w:val="0"/>
        <w:autoSpaceDN w:val="0"/>
        <w:adjustRightInd w:val="0"/>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No aplica, considerando que desde el año 2000 la moneda oficial de Ecuador es el Dólar de los Estados Unidos de América; por ende, todas las cotizaciones y proformas están señaladas y expresadas en USD.</w:t>
      </w:r>
    </w:p>
    <w:p>
      <w:pPr>
        <w:widowControl w:val="0"/>
        <w:autoSpaceDE w:val="0"/>
        <w:autoSpaceDN w:val="0"/>
        <w:adjustRightInd w:val="0"/>
        <w:jc w:val="both"/>
        <w:rPr>
          <w:rFonts w:ascii="Times New Roman" w:hAnsi="Times New Roman" w:eastAsia="Times New Roman" w:cs="Times New Roman"/>
          <w:b/>
          <w:sz w:val="20"/>
          <w:szCs w:val="20"/>
        </w:rPr>
      </w:pPr>
    </w:p>
    <w:p>
      <w:pPr>
        <w:pStyle w:val="31"/>
        <w:numPr>
          <w:ilvl w:val="0"/>
          <w:numId w:val="4"/>
        </w:numPr>
        <w:pBdr>
          <w:top w:val="single" w:color="auto" w:sz="4" w:space="1"/>
          <w:left w:val="single" w:color="auto" w:sz="4" w:space="0"/>
          <w:bottom w:val="single" w:color="auto" w:sz="4" w:space="1"/>
          <w:right w:val="single" w:color="auto" w:sz="4" w:space="12"/>
        </w:pBdr>
        <w:shd w:val="clear" w:color="auto" w:fill="7F7F7F" w:themeFill="background1" w:themeFillShade="80"/>
        <w:tabs>
          <w:tab w:val="left" w:pos="2300"/>
        </w:tabs>
        <w:jc w:val="both"/>
        <w:rPr>
          <w:rFonts w:ascii="Times New Roman" w:hAnsi="Times New Roman" w:eastAsia="Times New Roman" w:cs="Times New Roman"/>
          <w:b/>
          <w:bCs/>
          <w:color w:val="FFFFFF"/>
          <w:sz w:val="20"/>
          <w:szCs w:val="20"/>
        </w:rPr>
      </w:pPr>
      <w:r>
        <w:rPr>
          <w:rFonts w:ascii="Times New Roman" w:hAnsi="Times New Roman" w:eastAsia="Times New Roman" w:cs="Times New Roman"/>
          <w:b/>
          <w:bCs/>
          <w:color w:val="FFFFFF"/>
          <w:sz w:val="20"/>
          <w:szCs w:val="20"/>
        </w:rPr>
        <w:t xml:space="preserve">Considerar los montos de adjudicaciones similares realizadas en años pasados. </w:t>
      </w: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Para el cumplimiento de esta disposición normativa la Universidad Nacional de Loja ha utilizado la herramienta de búsqueda de procesos de contratación a través del Sistema Oficial de Contratación Pública “SNCP”; “Consultar – Mis Procesos – Consulta de mis procesos” durante los años 2018 y 2019, considerando el rango de búsqueda por fechas de publicación, iniciando la búsqueda de los procesos ejecutados desde el 01 de julio de 2018 y segmentando la búsqueda en periodos de seis meses dentro de los procesos de régimen común y especial.</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La Universidad Nacional de Loja, para la contratación de productos y servicios comunicacionales durante los años </w:t>
      </w:r>
    </w:p>
    <w:p>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antes indicados ha realizado los siguientes procedimientos de contratación.</w:t>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640" cy="158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srcRect/>
                    <a:stretch>
                      <a:fillRect/>
                    </a:stretch>
                  </pic:blipFill>
                  <pic:spPr>
                    <a:xfrm>
                      <a:off x="0" y="0"/>
                      <a:ext cx="5756275" cy="1587814"/>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tbl>
      <w:tblPr>
        <w:tblStyle w:val="7"/>
        <w:tblW w:w="9055"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3"/>
        <w:gridCol w:w="1211"/>
        <w:gridCol w:w="2218"/>
        <w:gridCol w:w="843"/>
        <w:gridCol w:w="1240"/>
        <w:gridCol w:w="1209"/>
        <w:gridCol w:w="949"/>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28" w:type="dxa"/>
            <w:shd w:val="clear" w:color="auto" w:fill="E7E6E6" w:themeFill="background2"/>
            <w:vAlign w:val="center"/>
          </w:tcPr>
          <w:p>
            <w:pPr>
              <w:rPr>
                <w:b/>
                <w:sz w:val="16"/>
                <w:szCs w:val="16"/>
              </w:rPr>
            </w:pPr>
            <w:r>
              <w:rPr>
                <w:b/>
                <w:sz w:val="16"/>
                <w:szCs w:val="16"/>
              </w:rPr>
              <w:t>Código</w:t>
            </w:r>
          </w:p>
        </w:tc>
        <w:tc>
          <w:tcPr>
            <w:tcW w:w="1181" w:type="dxa"/>
            <w:shd w:val="clear" w:color="auto" w:fill="E7E6E6" w:themeFill="background2"/>
            <w:vAlign w:val="center"/>
          </w:tcPr>
          <w:p>
            <w:pPr>
              <w:rPr>
                <w:b/>
                <w:sz w:val="16"/>
                <w:szCs w:val="16"/>
              </w:rPr>
            </w:pPr>
            <w:r>
              <w:rPr>
                <w:b/>
                <w:sz w:val="16"/>
                <w:szCs w:val="16"/>
              </w:rPr>
              <w:t>Entidad Contratante</w:t>
            </w:r>
          </w:p>
        </w:tc>
        <w:tc>
          <w:tcPr>
            <w:tcW w:w="2188" w:type="dxa"/>
            <w:shd w:val="clear" w:color="auto" w:fill="E7E6E6" w:themeFill="background2"/>
            <w:vAlign w:val="center"/>
          </w:tcPr>
          <w:p>
            <w:pPr>
              <w:rPr>
                <w:b/>
                <w:sz w:val="16"/>
                <w:szCs w:val="16"/>
              </w:rPr>
            </w:pPr>
            <w:r>
              <w:rPr>
                <w:b/>
                <w:sz w:val="16"/>
                <w:szCs w:val="16"/>
              </w:rPr>
              <w:t>Objeto del Proceso</w:t>
            </w:r>
          </w:p>
        </w:tc>
        <w:tc>
          <w:tcPr>
            <w:tcW w:w="813" w:type="dxa"/>
            <w:shd w:val="clear" w:color="auto" w:fill="E7E6E6" w:themeFill="background2"/>
            <w:vAlign w:val="center"/>
          </w:tcPr>
          <w:p>
            <w:pPr>
              <w:rPr>
                <w:b/>
                <w:sz w:val="16"/>
                <w:szCs w:val="16"/>
              </w:rPr>
            </w:pPr>
            <w:r>
              <w:rPr>
                <w:b/>
                <w:sz w:val="16"/>
                <w:szCs w:val="16"/>
              </w:rPr>
              <w:t>Estado del Proceso</w:t>
            </w:r>
          </w:p>
        </w:tc>
        <w:tc>
          <w:tcPr>
            <w:tcW w:w="1210" w:type="dxa"/>
            <w:shd w:val="clear" w:color="auto" w:fill="E7E6E6" w:themeFill="background2"/>
            <w:vAlign w:val="center"/>
          </w:tcPr>
          <w:p>
            <w:pPr>
              <w:rPr>
                <w:b/>
                <w:sz w:val="16"/>
                <w:szCs w:val="16"/>
              </w:rPr>
            </w:pPr>
            <w:r>
              <w:rPr>
                <w:b/>
                <w:sz w:val="16"/>
                <w:szCs w:val="16"/>
              </w:rPr>
              <w:t>Provincia/Cantón</w:t>
            </w:r>
          </w:p>
        </w:tc>
        <w:tc>
          <w:tcPr>
            <w:tcW w:w="1179" w:type="dxa"/>
            <w:shd w:val="clear" w:color="auto" w:fill="E7E6E6" w:themeFill="background2"/>
            <w:vAlign w:val="center"/>
          </w:tcPr>
          <w:p>
            <w:pPr>
              <w:rPr>
                <w:b/>
                <w:sz w:val="16"/>
                <w:szCs w:val="16"/>
              </w:rPr>
            </w:pPr>
            <w:r>
              <w:rPr>
                <w:b/>
                <w:sz w:val="16"/>
                <w:szCs w:val="16"/>
              </w:rPr>
              <w:t>Presupuesto Referencial Total (sin iva)</w:t>
            </w:r>
          </w:p>
        </w:tc>
        <w:tc>
          <w:tcPr>
            <w:tcW w:w="919" w:type="dxa"/>
            <w:shd w:val="clear" w:color="auto" w:fill="E7E6E6" w:themeFill="background2"/>
            <w:vAlign w:val="center"/>
          </w:tcPr>
          <w:p>
            <w:pPr>
              <w:rPr>
                <w:b/>
                <w:sz w:val="16"/>
                <w:szCs w:val="16"/>
              </w:rPr>
            </w:pPr>
            <w:r>
              <w:rPr>
                <w:b/>
                <w:sz w:val="16"/>
                <w:szCs w:val="16"/>
              </w:rPr>
              <w:t>Fecha de Publicación</w:t>
            </w:r>
          </w:p>
        </w:tc>
        <w:tc>
          <w:tcPr>
            <w:tcW w:w="667" w:type="dxa"/>
            <w:shd w:val="clear" w:color="auto" w:fill="E7E6E6" w:themeFill="background2"/>
            <w:vAlign w:val="center"/>
          </w:tcPr>
          <w:p>
            <w:pPr>
              <w:rPr>
                <w:b/>
                <w:sz w:val="16"/>
                <w:szCs w:val="16"/>
              </w:rPr>
            </w:pPr>
            <w:r>
              <w:rPr>
                <w:b/>
                <w:sz w:val="16"/>
                <w:szCs w:val="16"/>
              </w:rPr>
              <w:t>Opciones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28" w:type="dxa"/>
          </w:tcPr>
          <w:p>
            <w:pPr>
              <w:rPr>
                <w:sz w:val="16"/>
                <w:szCs w:val="16"/>
              </w:rPr>
            </w:pPr>
            <w:r>
              <w:fldChar w:fldCharType="begin"/>
            </w:r>
            <w:r>
              <w:instrText xml:space="preserve"> HYPERLINK "https://www.compraspublicas.gob.ec/ProcesoContratacion/compras/PC/informacionProcesoContratacion2.cpe?idSoliCompra=RNrVq5delcCH1H5HoUk-fGGQZ_gghIekeJipsug4Cfg," </w:instrText>
            </w:r>
            <w:r>
              <w:fldChar w:fldCharType="separate"/>
            </w:r>
            <w:r>
              <w:rPr>
                <w:rStyle w:val="19"/>
                <w:sz w:val="16"/>
                <w:szCs w:val="16"/>
              </w:rPr>
              <w:t xml:space="preserve">RE-UNL-036-2018 </w:t>
            </w:r>
            <w:r>
              <w:rPr>
                <w:rStyle w:val="19"/>
                <w:sz w:val="16"/>
                <w:szCs w:val="16"/>
              </w:rPr>
              <w:fldChar w:fldCharType="end"/>
            </w:r>
          </w:p>
        </w:tc>
        <w:tc>
          <w:tcPr>
            <w:tcW w:w="1181" w:type="dxa"/>
          </w:tcPr>
          <w:p>
            <w:pPr>
              <w:rPr>
                <w:sz w:val="16"/>
                <w:szCs w:val="16"/>
              </w:rPr>
            </w:pPr>
            <w:r>
              <w:rPr>
                <w:sz w:val="16"/>
                <w:szCs w:val="16"/>
              </w:rPr>
              <w:t>UNIVERSIDAD NACIONAL DE LOJA</w:t>
            </w:r>
          </w:p>
        </w:tc>
        <w:tc>
          <w:tcPr>
            <w:tcW w:w="2188" w:type="dxa"/>
          </w:tcPr>
          <w:p>
            <w:pPr>
              <w:rPr>
                <w:sz w:val="16"/>
                <w:szCs w:val="16"/>
              </w:rPr>
            </w:pPr>
            <w:r>
              <w:rPr>
                <w:sz w:val="16"/>
                <w:szCs w:val="16"/>
              </w:rPr>
              <w:t>CONTRATACIÓN DEL SERVICIO DE ESPACIOS PUBLICITARIOS EN PRENSA.CRONICA DE LA TARDE CIA LTDA</w:t>
            </w:r>
          </w:p>
        </w:tc>
        <w:tc>
          <w:tcPr>
            <w:tcW w:w="813" w:type="dxa"/>
          </w:tcPr>
          <w:p>
            <w:pPr>
              <w:rPr>
                <w:sz w:val="16"/>
                <w:szCs w:val="16"/>
              </w:rPr>
            </w:pPr>
            <w:r>
              <w:rPr>
                <w:sz w:val="16"/>
                <w:szCs w:val="16"/>
              </w:rPr>
              <w:t>Ejecución de Contrato</w:t>
            </w:r>
          </w:p>
        </w:tc>
        <w:tc>
          <w:tcPr>
            <w:tcW w:w="1210" w:type="dxa"/>
          </w:tcPr>
          <w:p>
            <w:pPr>
              <w:rPr>
                <w:sz w:val="16"/>
                <w:szCs w:val="16"/>
              </w:rPr>
            </w:pPr>
            <w:r>
              <w:rPr>
                <w:sz w:val="16"/>
                <w:szCs w:val="16"/>
              </w:rPr>
              <w:t>LOJA / LOJA</w:t>
            </w:r>
          </w:p>
        </w:tc>
        <w:tc>
          <w:tcPr>
            <w:tcW w:w="1179" w:type="dxa"/>
          </w:tcPr>
          <w:p>
            <w:pPr>
              <w:rPr>
                <w:sz w:val="16"/>
                <w:szCs w:val="16"/>
              </w:rPr>
            </w:pPr>
            <w:r>
              <w:rPr>
                <w:sz w:val="16"/>
                <w:szCs w:val="16"/>
              </w:rPr>
              <w:t>$3,025.00</w:t>
            </w:r>
          </w:p>
        </w:tc>
        <w:tc>
          <w:tcPr>
            <w:tcW w:w="919" w:type="dxa"/>
          </w:tcPr>
          <w:p>
            <w:pPr>
              <w:rPr>
                <w:sz w:val="16"/>
                <w:szCs w:val="16"/>
              </w:rPr>
            </w:pPr>
            <w:r>
              <w:rPr>
                <w:sz w:val="16"/>
                <w:szCs w:val="16"/>
              </w:rPr>
              <w:t>2018-10-24 17:00:00</w:t>
            </w:r>
          </w:p>
        </w:tc>
        <w:tc>
          <w:tcPr>
            <w:tcW w:w="667" w:type="dxa"/>
            <w:vAlign w:val="center"/>
          </w:tcPr>
          <w:p>
            <w:pPr>
              <w:rPr>
                <w:sz w:val="16"/>
                <w:szCs w:val="16"/>
              </w:rPr>
            </w:pPr>
            <w:r>
              <w:rPr>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28" w:type="dxa"/>
          </w:tcPr>
          <w:p>
            <w:pPr>
              <w:rPr>
                <w:sz w:val="16"/>
                <w:szCs w:val="16"/>
              </w:rPr>
            </w:pPr>
            <w:r>
              <w:fldChar w:fldCharType="begin"/>
            </w:r>
            <w:r>
              <w:instrText xml:space="preserve"> HYPERLINK "https://www.compraspublicas.gob.ec/ProcesoContratacion/compras/PC/informacionProcesoContratacion2.cpe?idSoliCompra=us7zh4kYsN2AUki_yXJAgVDj5PB3bjkNY3r1JJx8dDk," </w:instrText>
            </w:r>
            <w:r>
              <w:fldChar w:fldCharType="separate"/>
            </w:r>
            <w:r>
              <w:rPr>
                <w:rStyle w:val="19"/>
                <w:sz w:val="16"/>
                <w:szCs w:val="16"/>
              </w:rPr>
              <w:t xml:space="preserve">RE-UNL-024-2018 </w:t>
            </w:r>
            <w:r>
              <w:rPr>
                <w:rStyle w:val="19"/>
                <w:sz w:val="16"/>
                <w:szCs w:val="16"/>
              </w:rPr>
              <w:fldChar w:fldCharType="end"/>
            </w:r>
          </w:p>
        </w:tc>
        <w:tc>
          <w:tcPr>
            <w:tcW w:w="1181" w:type="dxa"/>
          </w:tcPr>
          <w:p>
            <w:pPr>
              <w:rPr>
                <w:sz w:val="16"/>
                <w:szCs w:val="16"/>
              </w:rPr>
            </w:pPr>
            <w:r>
              <w:rPr>
                <w:sz w:val="16"/>
                <w:szCs w:val="16"/>
              </w:rPr>
              <w:t>UNIVERSIDAD NACIONAL DE LOJA</w:t>
            </w:r>
          </w:p>
        </w:tc>
        <w:tc>
          <w:tcPr>
            <w:tcW w:w="2188" w:type="dxa"/>
          </w:tcPr>
          <w:p>
            <w:pPr>
              <w:rPr>
                <w:sz w:val="16"/>
                <w:szCs w:val="16"/>
              </w:rPr>
            </w:pPr>
            <w:r>
              <w:rPr>
                <w:sz w:val="16"/>
                <w:szCs w:val="16"/>
              </w:rPr>
              <w:t>CONTRATACION DEL SERVICIO DE ESPACIOS PUBLICITARIOS EN PRENSA.</w:t>
            </w:r>
          </w:p>
        </w:tc>
        <w:tc>
          <w:tcPr>
            <w:tcW w:w="813" w:type="dxa"/>
          </w:tcPr>
          <w:p>
            <w:pPr>
              <w:rPr>
                <w:sz w:val="16"/>
                <w:szCs w:val="16"/>
              </w:rPr>
            </w:pPr>
            <w:r>
              <w:rPr>
                <w:sz w:val="16"/>
                <w:szCs w:val="16"/>
              </w:rPr>
              <w:t>Ejecución de Contrato</w:t>
            </w:r>
          </w:p>
        </w:tc>
        <w:tc>
          <w:tcPr>
            <w:tcW w:w="1210" w:type="dxa"/>
          </w:tcPr>
          <w:p>
            <w:pPr>
              <w:rPr>
                <w:sz w:val="16"/>
                <w:szCs w:val="16"/>
              </w:rPr>
            </w:pPr>
            <w:r>
              <w:rPr>
                <w:sz w:val="16"/>
                <w:szCs w:val="16"/>
              </w:rPr>
              <w:t>LOJA / LOJA</w:t>
            </w:r>
          </w:p>
        </w:tc>
        <w:tc>
          <w:tcPr>
            <w:tcW w:w="1179" w:type="dxa"/>
          </w:tcPr>
          <w:p>
            <w:pPr>
              <w:rPr>
                <w:sz w:val="16"/>
                <w:szCs w:val="16"/>
              </w:rPr>
            </w:pPr>
            <w:r>
              <w:rPr>
                <w:sz w:val="16"/>
                <w:szCs w:val="16"/>
              </w:rPr>
              <w:t>$8,485.26</w:t>
            </w:r>
          </w:p>
        </w:tc>
        <w:tc>
          <w:tcPr>
            <w:tcW w:w="919" w:type="dxa"/>
          </w:tcPr>
          <w:p>
            <w:pPr>
              <w:rPr>
                <w:sz w:val="16"/>
                <w:szCs w:val="16"/>
              </w:rPr>
            </w:pPr>
            <w:r>
              <w:rPr>
                <w:sz w:val="16"/>
                <w:szCs w:val="16"/>
              </w:rPr>
              <w:t>2018-10-15 12:00:00</w:t>
            </w:r>
          </w:p>
        </w:tc>
        <w:tc>
          <w:tcPr>
            <w:tcW w:w="667" w:type="dxa"/>
            <w:vAlign w:val="center"/>
          </w:tcPr>
          <w:p>
            <w:pPr>
              <w:rPr>
                <w:sz w:val="16"/>
                <w:szCs w:val="16"/>
              </w:rPr>
            </w:pPr>
            <w:r>
              <w:rPr>
                <w:sz w:val="16"/>
                <w:szCs w:val="16"/>
              </w:rPr>
              <w:t> </w:t>
            </w:r>
          </w:p>
        </w:tc>
      </w:tr>
    </w:tbl>
    <w:p>
      <w:pPr>
        <w:jc w:val="both"/>
        <w:rPr>
          <w:rFonts w:ascii="Times New Roman" w:hAnsi="Times New Roman" w:eastAsia="Times New Roman" w:cs="Times New Roman"/>
          <w:sz w:val="20"/>
          <w:szCs w:val="20"/>
        </w:rPr>
      </w:pPr>
      <w:r>
        <w:drawing>
          <wp:inline distT="0" distB="0" distL="0" distR="0">
            <wp:extent cx="5755005" cy="187896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2"/>
                    <a:srcRect/>
                    <a:stretch>
                      <a:fillRect/>
                    </a:stretch>
                  </pic:blipFill>
                  <pic:spPr>
                    <a:xfrm>
                      <a:off x="0" y="0"/>
                      <a:ext cx="5756275" cy="1879252"/>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tbl>
      <w:tblPr>
        <w:tblStyle w:val="7"/>
        <w:tblW w:w="9055"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02"/>
        <w:gridCol w:w="1076"/>
        <w:gridCol w:w="2743"/>
        <w:gridCol w:w="768"/>
        <w:gridCol w:w="1240"/>
        <w:gridCol w:w="1030"/>
        <w:gridCol w:w="884"/>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57" w:type="dxa"/>
            <w:shd w:val="clear" w:color="auto" w:fill="E7E6E6" w:themeFill="background2"/>
            <w:vAlign w:val="center"/>
          </w:tcPr>
          <w:p>
            <w:pPr>
              <w:rPr>
                <w:b/>
                <w:sz w:val="16"/>
                <w:szCs w:val="16"/>
              </w:rPr>
            </w:pPr>
            <w:r>
              <w:rPr>
                <w:b/>
                <w:sz w:val="16"/>
                <w:szCs w:val="16"/>
              </w:rPr>
              <w:t>Código</w:t>
            </w:r>
          </w:p>
        </w:tc>
        <w:tc>
          <w:tcPr>
            <w:tcW w:w="1046" w:type="dxa"/>
            <w:shd w:val="clear" w:color="auto" w:fill="E7E6E6" w:themeFill="background2"/>
            <w:vAlign w:val="center"/>
          </w:tcPr>
          <w:p>
            <w:pPr>
              <w:rPr>
                <w:b/>
                <w:sz w:val="16"/>
                <w:szCs w:val="16"/>
              </w:rPr>
            </w:pPr>
            <w:r>
              <w:rPr>
                <w:b/>
                <w:sz w:val="16"/>
                <w:szCs w:val="16"/>
              </w:rPr>
              <w:t>Entidad Contratante</w:t>
            </w:r>
          </w:p>
        </w:tc>
        <w:tc>
          <w:tcPr>
            <w:tcW w:w="2713" w:type="dxa"/>
            <w:shd w:val="clear" w:color="auto" w:fill="E7E6E6" w:themeFill="background2"/>
            <w:vAlign w:val="center"/>
          </w:tcPr>
          <w:p>
            <w:pPr>
              <w:rPr>
                <w:b/>
                <w:sz w:val="16"/>
                <w:szCs w:val="16"/>
              </w:rPr>
            </w:pPr>
            <w:r>
              <w:rPr>
                <w:b/>
                <w:sz w:val="16"/>
                <w:szCs w:val="16"/>
              </w:rPr>
              <w:t>Objeto del Proceso</w:t>
            </w:r>
          </w:p>
        </w:tc>
        <w:tc>
          <w:tcPr>
            <w:tcW w:w="738" w:type="dxa"/>
            <w:shd w:val="clear" w:color="auto" w:fill="E7E6E6" w:themeFill="background2"/>
            <w:vAlign w:val="center"/>
          </w:tcPr>
          <w:p>
            <w:pPr>
              <w:rPr>
                <w:b/>
                <w:sz w:val="16"/>
                <w:szCs w:val="16"/>
              </w:rPr>
            </w:pPr>
            <w:r>
              <w:rPr>
                <w:b/>
                <w:sz w:val="16"/>
                <w:szCs w:val="16"/>
              </w:rPr>
              <w:t>Estado del Proceso</w:t>
            </w:r>
          </w:p>
        </w:tc>
        <w:tc>
          <w:tcPr>
            <w:tcW w:w="1210" w:type="dxa"/>
            <w:shd w:val="clear" w:color="auto" w:fill="E7E6E6" w:themeFill="background2"/>
            <w:vAlign w:val="center"/>
          </w:tcPr>
          <w:p>
            <w:pPr>
              <w:rPr>
                <w:b/>
                <w:sz w:val="16"/>
                <w:szCs w:val="16"/>
              </w:rPr>
            </w:pPr>
            <w:r>
              <w:rPr>
                <w:b/>
                <w:sz w:val="16"/>
                <w:szCs w:val="16"/>
              </w:rPr>
              <w:t>Provincia/Cantón</w:t>
            </w:r>
          </w:p>
        </w:tc>
        <w:tc>
          <w:tcPr>
            <w:tcW w:w="1000" w:type="dxa"/>
            <w:shd w:val="clear" w:color="auto" w:fill="E7E6E6" w:themeFill="background2"/>
            <w:vAlign w:val="center"/>
          </w:tcPr>
          <w:p>
            <w:pPr>
              <w:rPr>
                <w:b/>
                <w:sz w:val="16"/>
                <w:szCs w:val="16"/>
              </w:rPr>
            </w:pPr>
            <w:r>
              <w:rPr>
                <w:b/>
                <w:sz w:val="16"/>
                <w:szCs w:val="16"/>
              </w:rPr>
              <w:t>Presupuesto Referencial Total (sin iva)</w:t>
            </w:r>
          </w:p>
        </w:tc>
        <w:tc>
          <w:tcPr>
            <w:tcW w:w="854" w:type="dxa"/>
            <w:shd w:val="clear" w:color="auto" w:fill="E7E6E6" w:themeFill="background2"/>
            <w:vAlign w:val="center"/>
          </w:tcPr>
          <w:p>
            <w:pPr>
              <w:rPr>
                <w:b/>
                <w:sz w:val="16"/>
                <w:szCs w:val="16"/>
              </w:rPr>
            </w:pPr>
            <w:r>
              <w:rPr>
                <w:b/>
                <w:sz w:val="16"/>
                <w:szCs w:val="16"/>
              </w:rPr>
              <w:t>Fecha de Publicación</w:t>
            </w:r>
          </w:p>
        </w:tc>
        <w:tc>
          <w:tcPr>
            <w:tcW w:w="667" w:type="dxa"/>
            <w:shd w:val="clear" w:color="auto" w:fill="E7E6E6" w:themeFill="background2"/>
            <w:vAlign w:val="center"/>
          </w:tcPr>
          <w:p>
            <w:pPr>
              <w:rPr>
                <w:b/>
                <w:sz w:val="16"/>
                <w:szCs w:val="16"/>
              </w:rPr>
            </w:pPr>
            <w:r>
              <w:rPr>
                <w:b/>
                <w:sz w:val="16"/>
                <w:szCs w:val="16"/>
              </w:rPr>
              <w:t>Opciones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57" w:type="dxa"/>
          </w:tcPr>
          <w:p>
            <w:pPr>
              <w:rPr>
                <w:sz w:val="16"/>
                <w:szCs w:val="16"/>
              </w:rPr>
            </w:pPr>
            <w:r>
              <w:fldChar w:fldCharType="begin"/>
            </w:r>
            <w:r>
              <w:instrText xml:space="preserve"> HYPERLINK "https://www.compraspublicas.gob.ec/ProcesoContratacion/compras/PC/informacionProcesoContratacion2.cpe?idSoliCompra=avqpAbLiqJSOg4MbsdEOsMY2KQehw4NoqDyXfXoUAe0," </w:instrText>
            </w:r>
            <w:r>
              <w:fldChar w:fldCharType="separate"/>
            </w:r>
            <w:r>
              <w:rPr>
                <w:rStyle w:val="19"/>
                <w:sz w:val="16"/>
                <w:szCs w:val="16"/>
              </w:rPr>
              <w:t xml:space="preserve">RE-UNL-042-2018 </w:t>
            </w:r>
            <w:r>
              <w:rPr>
                <w:rStyle w:val="19"/>
                <w:sz w:val="16"/>
                <w:szCs w:val="16"/>
              </w:rPr>
              <w:fldChar w:fldCharType="end"/>
            </w:r>
          </w:p>
        </w:tc>
        <w:tc>
          <w:tcPr>
            <w:tcW w:w="1046" w:type="dxa"/>
          </w:tcPr>
          <w:p>
            <w:pPr>
              <w:rPr>
                <w:sz w:val="16"/>
                <w:szCs w:val="16"/>
              </w:rPr>
            </w:pPr>
            <w:r>
              <w:rPr>
                <w:sz w:val="16"/>
                <w:szCs w:val="16"/>
              </w:rPr>
              <w:t>UNIVERSIDAD NACIONAL DE LOJA</w:t>
            </w:r>
          </w:p>
        </w:tc>
        <w:tc>
          <w:tcPr>
            <w:tcW w:w="2713" w:type="dxa"/>
          </w:tcPr>
          <w:p>
            <w:pPr>
              <w:rPr>
                <w:sz w:val="16"/>
                <w:szCs w:val="16"/>
              </w:rPr>
            </w:pPr>
            <w:r>
              <w:rPr>
                <w:sz w:val="16"/>
                <w:szCs w:val="16"/>
              </w:rPr>
              <w:t>CONTRATACIÓN DE SERVICIOS COMUNICACIONALES, DE PUBLICACIÓN Y REPRODUCCIÓN DE RENDICIÓN DE CUENTAS, PAPELETAS DE VOTACIÓN, FOLLETOS, AFICHES, DIPTICOS, TRIPTICOS, REGLAMENTOS, POLÍTICAS E INSTRUCTIVOS, REVISTAS INFOMATIVAS, MATERIAL PREIMPRESO, E INFO</w:t>
            </w:r>
          </w:p>
        </w:tc>
        <w:tc>
          <w:tcPr>
            <w:tcW w:w="738" w:type="dxa"/>
          </w:tcPr>
          <w:p>
            <w:pPr>
              <w:rPr>
                <w:sz w:val="16"/>
                <w:szCs w:val="16"/>
              </w:rPr>
            </w:pPr>
            <w:r>
              <w:rPr>
                <w:sz w:val="16"/>
                <w:szCs w:val="16"/>
              </w:rPr>
              <w:t>Finalizada</w:t>
            </w:r>
          </w:p>
        </w:tc>
        <w:tc>
          <w:tcPr>
            <w:tcW w:w="1210" w:type="dxa"/>
          </w:tcPr>
          <w:p>
            <w:pPr>
              <w:rPr>
                <w:sz w:val="16"/>
                <w:szCs w:val="16"/>
              </w:rPr>
            </w:pPr>
            <w:r>
              <w:rPr>
                <w:sz w:val="16"/>
                <w:szCs w:val="16"/>
              </w:rPr>
              <w:t>LOJA / LOJA</w:t>
            </w:r>
          </w:p>
        </w:tc>
        <w:tc>
          <w:tcPr>
            <w:tcW w:w="1000" w:type="dxa"/>
          </w:tcPr>
          <w:p>
            <w:pPr>
              <w:rPr>
                <w:sz w:val="16"/>
                <w:szCs w:val="16"/>
              </w:rPr>
            </w:pPr>
            <w:r>
              <w:rPr>
                <w:sz w:val="16"/>
                <w:szCs w:val="16"/>
              </w:rPr>
              <w:t>$28,489.94</w:t>
            </w:r>
          </w:p>
        </w:tc>
        <w:tc>
          <w:tcPr>
            <w:tcW w:w="854" w:type="dxa"/>
          </w:tcPr>
          <w:p>
            <w:pPr>
              <w:rPr>
                <w:sz w:val="16"/>
                <w:szCs w:val="16"/>
              </w:rPr>
            </w:pPr>
            <w:r>
              <w:rPr>
                <w:sz w:val="16"/>
                <w:szCs w:val="16"/>
              </w:rPr>
              <w:t>2018-11-09 12:00:00</w:t>
            </w:r>
          </w:p>
        </w:tc>
        <w:tc>
          <w:tcPr>
            <w:tcW w:w="667" w:type="dxa"/>
            <w:vAlign w:val="center"/>
          </w:tcPr>
          <w:p>
            <w:pPr>
              <w:rPr>
                <w:sz w:val="16"/>
                <w:szCs w:val="16"/>
              </w:rPr>
            </w:pPr>
            <w:r>
              <w:rPr>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57" w:type="dxa"/>
          </w:tcPr>
          <w:p>
            <w:pPr>
              <w:rPr>
                <w:sz w:val="16"/>
                <w:szCs w:val="16"/>
              </w:rPr>
            </w:pPr>
            <w:r>
              <w:fldChar w:fldCharType="begin"/>
            </w:r>
            <w:r>
              <w:instrText xml:space="preserve"> HYPERLINK "https://www.compraspublicas.gob.ec/ProcesoContratacion/compras/PC/informacionProcesoContratacion2.cpe?idSoliCompra=Zvm6tY6unOYziY4CEgjj2kvGjvJQf5VukMJA4TqDy_c," </w:instrText>
            </w:r>
            <w:r>
              <w:fldChar w:fldCharType="separate"/>
            </w:r>
            <w:r>
              <w:rPr>
                <w:rStyle w:val="19"/>
                <w:sz w:val="16"/>
                <w:szCs w:val="16"/>
              </w:rPr>
              <w:t xml:space="preserve">RE-UNL-041-2018 </w:t>
            </w:r>
            <w:r>
              <w:rPr>
                <w:rStyle w:val="19"/>
                <w:sz w:val="16"/>
                <w:szCs w:val="16"/>
              </w:rPr>
              <w:fldChar w:fldCharType="end"/>
            </w:r>
          </w:p>
        </w:tc>
        <w:tc>
          <w:tcPr>
            <w:tcW w:w="1046" w:type="dxa"/>
          </w:tcPr>
          <w:p>
            <w:pPr>
              <w:rPr>
                <w:sz w:val="16"/>
                <w:szCs w:val="16"/>
              </w:rPr>
            </w:pPr>
            <w:r>
              <w:rPr>
                <w:sz w:val="16"/>
                <w:szCs w:val="16"/>
              </w:rPr>
              <w:t>UNIVERSIDAD NACIONAL DE LOJA</w:t>
            </w:r>
          </w:p>
        </w:tc>
        <w:tc>
          <w:tcPr>
            <w:tcW w:w="2713" w:type="dxa"/>
          </w:tcPr>
          <w:p>
            <w:pPr>
              <w:rPr>
                <w:sz w:val="16"/>
                <w:szCs w:val="16"/>
              </w:rPr>
            </w:pPr>
            <w:r>
              <w:rPr>
                <w:sz w:val="16"/>
                <w:szCs w:val="16"/>
              </w:rPr>
              <w:t>REALIZACIÓN DE EVENTOS PÚBLICOS Y OFICIALES - PARA LA PARTICIPACIÓN ACADÉMICA Y CULTURAL DE LA UNIVERSIDAD NACIONAL DE LOJA EN EL TERCER FESTIVAL DE ARTES VIVAS OFF LOJA 2018</w:t>
            </w:r>
          </w:p>
        </w:tc>
        <w:tc>
          <w:tcPr>
            <w:tcW w:w="738" w:type="dxa"/>
          </w:tcPr>
          <w:p>
            <w:pPr>
              <w:rPr>
                <w:sz w:val="16"/>
                <w:szCs w:val="16"/>
              </w:rPr>
            </w:pPr>
            <w:r>
              <w:rPr>
                <w:sz w:val="16"/>
                <w:szCs w:val="16"/>
              </w:rPr>
              <w:t>Finalizada</w:t>
            </w:r>
          </w:p>
        </w:tc>
        <w:tc>
          <w:tcPr>
            <w:tcW w:w="1210" w:type="dxa"/>
          </w:tcPr>
          <w:p>
            <w:pPr>
              <w:rPr>
                <w:sz w:val="16"/>
                <w:szCs w:val="16"/>
              </w:rPr>
            </w:pPr>
            <w:r>
              <w:rPr>
                <w:sz w:val="16"/>
                <w:szCs w:val="16"/>
              </w:rPr>
              <w:t>LOJA / LOJA</w:t>
            </w:r>
          </w:p>
        </w:tc>
        <w:tc>
          <w:tcPr>
            <w:tcW w:w="1000" w:type="dxa"/>
          </w:tcPr>
          <w:p>
            <w:pPr>
              <w:rPr>
                <w:sz w:val="16"/>
                <w:szCs w:val="16"/>
              </w:rPr>
            </w:pPr>
            <w:r>
              <w:rPr>
                <w:sz w:val="16"/>
                <w:szCs w:val="16"/>
              </w:rPr>
              <w:t>$15,932.75</w:t>
            </w:r>
          </w:p>
        </w:tc>
        <w:tc>
          <w:tcPr>
            <w:tcW w:w="854" w:type="dxa"/>
          </w:tcPr>
          <w:p>
            <w:pPr>
              <w:rPr>
                <w:sz w:val="16"/>
                <w:szCs w:val="16"/>
              </w:rPr>
            </w:pPr>
            <w:r>
              <w:rPr>
                <w:sz w:val="16"/>
                <w:szCs w:val="16"/>
              </w:rPr>
              <w:t>2018-10-31 13:00:00</w:t>
            </w:r>
          </w:p>
        </w:tc>
        <w:tc>
          <w:tcPr>
            <w:tcW w:w="667" w:type="dxa"/>
            <w:vAlign w:val="center"/>
          </w:tcPr>
          <w:p>
            <w:pPr>
              <w:rPr>
                <w:sz w:val="16"/>
                <w:szCs w:val="16"/>
              </w:rPr>
            </w:pPr>
          </w:p>
        </w:tc>
      </w:tr>
    </w:tbl>
    <w:p>
      <w:pPr>
        <w:jc w:val="both"/>
        <w:rPr>
          <w:rFonts w:ascii="Times New Roman" w:hAnsi="Times New Roman" w:eastAsia="Times New Roman" w:cs="Times New Roman"/>
          <w:b/>
          <w:sz w:val="20"/>
          <w:szCs w:val="20"/>
        </w:rPr>
      </w:pPr>
    </w:p>
    <w:p>
      <w:pPr>
        <w:jc w:val="both"/>
        <w:rPr>
          <w:b/>
          <w:sz w:val="16"/>
          <w:szCs w:val="16"/>
        </w:rPr>
      </w:pPr>
      <w:r>
        <w:fldChar w:fldCharType="begin"/>
      </w:r>
      <w:r>
        <w:instrText xml:space="preserve"> HYPERLINK "https://www.compraspublicas.gob.ec/ProcesoContratacion/compras/PC/informacionProcesoContratacion2.cpe?idSoliCompra=avqpAbLiqJSOg4MbsdEOsMY2KQehw4NoqDyXfXoUAe0," </w:instrText>
      </w:r>
      <w:r>
        <w:fldChar w:fldCharType="separate"/>
      </w:r>
      <w:r>
        <w:rPr>
          <w:rStyle w:val="19"/>
          <w:b/>
          <w:sz w:val="16"/>
          <w:szCs w:val="16"/>
        </w:rPr>
        <w:t xml:space="preserve">RE-UNL-042-2018 </w:t>
      </w:r>
      <w:r>
        <w:rPr>
          <w:rStyle w:val="19"/>
          <w:b/>
          <w:sz w:val="16"/>
          <w:szCs w:val="16"/>
        </w:rPr>
        <w:fldChar w:fldCharType="end"/>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07380" cy="2774950"/>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3"/>
                    <a:srcRect/>
                    <a:stretch>
                      <a:fillRect/>
                    </a:stretch>
                  </pic:blipFill>
                  <pic:spPr>
                    <a:xfrm>
                      <a:off x="0" y="0"/>
                      <a:ext cx="5707586" cy="2774950"/>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499735" cy="1451610"/>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pic:cNvPicPr>
                  </pic:nvPicPr>
                  <pic:blipFill>
                    <a:blip r:embed="rId14"/>
                    <a:srcRect/>
                    <a:stretch>
                      <a:fillRect/>
                    </a:stretch>
                  </pic:blipFill>
                  <pic:spPr>
                    <a:xfrm>
                      <a:off x="0" y="0"/>
                      <a:ext cx="5501978" cy="1452442"/>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2074545" cy="303085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15"/>
                    <a:srcRect/>
                    <a:stretch>
                      <a:fillRect/>
                    </a:stretch>
                  </pic:blipFill>
                  <pic:spPr>
                    <a:xfrm>
                      <a:off x="0" y="0"/>
                      <a:ext cx="2075345" cy="3031874"/>
                    </a:xfrm>
                    <a:prstGeom prst="rect">
                      <a:avLst/>
                    </a:prstGeom>
                    <a:ln>
                      <a:noFill/>
                    </a:ln>
                  </pic:spPr>
                </pic:pic>
              </a:graphicData>
            </a:graphic>
          </wp:inline>
        </w:drawing>
      </w:r>
    </w:p>
    <w:p>
      <w:pPr>
        <w:jc w:val="center"/>
        <w:rPr>
          <w:rFonts w:ascii="Times New Roman" w:hAnsi="Times New Roman" w:eastAsia="Times New Roman" w:cs="Times New Roman"/>
          <w:sz w:val="20"/>
          <w:szCs w:val="20"/>
        </w:rPr>
      </w:pPr>
      <w:r>
        <w:drawing>
          <wp:inline distT="0" distB="0" distL="0" distR="0">
            <wp:extent cx="2170430" cy="2890520"/>
            <wp:effectExtent l="0" t="0" r="127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16"/>
                    <a:srcRect/>
                    <a:stretch>
                      <a:fillRect/>
                    </a:stretch>
                  </pic:blipFill>
                  <pic:spPr>
                    <a:xfrm>
                      <a:off x="0" y="0"/>
                      <a:ext cx="2170491" cy="2891197"/>
                    </a:xfrm>
                    <a:prstGeom prst="rect">
                      <a:avLst/>
                    </a:prstGeom>
                    <a:ln>
                      <a:noFill/>
                    </a:ln>
                  </pic:spPr>
                </pic:pic>
              </a:graphicData>
            </a:graphic>
          </wp:inline>
        </w:drawing>
      </w:r>
    </w:p>
    <w:p>
      <w:pPr>
        <w:jc w:val="center"/>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2240280" cy="27984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17"/>
                    <a:srcRect/>
                    <a:stretch>
                      <a:fillRect/>
                    </a:stretch>
                  </pic:blipFill>
                  <pic:spPr>
                    <a:xfrm>
                      <a:off x="0" y="0"/>
                      <a:ext cx="2241304" cy="2799745"/>
                    </a:xfrm>
                    <a:prstGeom prst="rect">
                      <a:avLst/>
                    </a:prstGeom>
                    <a:ln>
                      <a:noFill/>
                    </a:ln>
                  </pic:spPr>
                </pic:pic>
              </a:graphicData>
            </a:graphic>
          </wp:inline>
        </w:drawing>
      </w:r>
    </w:p>
    <w:p>
      <w:pPr>
        <w:jc w:val="both"/>
        <w:rPr>
          <w:b/>
          <w:sz w:val="16"/>
          <w:szCs w:val="16"/>
        </w:rPr>
      </w:pPr>
      <w:r>
        <w:fldChar w:fldCharType="begin"/>
      </w:r>
      <w:r>
        <w:instrText xml:space="preserve"> HYPERLINK "https://www.compraspublicas.gob.ec/ProcesoContratacion/compras/PC/informacionProcesoContratacion2.cpe?idSoliCompra=Zvm6tY6unOYziY4CEgjj2kvGjvJQf5VukMJA4TqDy_c," </w:instrText>
      </w:r>
      <w:r>
        <w:fldChar w:fldCharType="separate"/>
      </w:r>
      <w:r>
        <w:rPr>
          <w:rStyle w:val="19"/>
          <w:b/>
          <w:sz w:val="16"/>
          <w:szCs w:val="16"/>
        </w:rPr>
        <w:t xml:space="preserve">RE-UNL-041-2018 </w:t>
      </w:r>
      <w:r>
        <w:rPr>
          <w:rStyle w:val="19"/>
          <w:b/>
          <w:sz w:val="16"/>
          <w:szCs w:val="16"/>
        </w:rPr>
        <w:fldChar w:fldCharType="end"/>
      </w:r>
    </w:p>
    <w:p>
      <w:pPr>
        <w:jc w:val="both"/>
        <w:rPr>
          <w:b/>
          <w:sz w:val="16"/>
          <w:szCs w:val="16"/>
        </w:rPr>
      </w:pPr>
    </w:p>
    <w:p>
      <w:pPr>
        <w:jc w:val="both"/>
        <w:rPr>
          <w:b/>
          <w:sz w:val="16"/>
          <w:szCs w:val="16"/>
        </w:rPr>
      </w:pPr>
      <w:r>
        <w:drawing>
          <wp:inline distT="0" distB="0" distL="0" distR="0">
            <wp:extent cx="5756275" cy="2955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18"/>
                    <a:srcRect/>
                    <a:stretch>
                      <a:fillRect/>
                    </a:stretch>
                  </pic:blipFill>
                  <pic:spPr>
                    <a:xfrm>
                      <a:off x="0" y="0"/>
                      <a:ext cx="5756275" cy="2956511"/>
                    </a:xfrm>
                    <a:prstGeom prst="rect">
                      <a:avLst/>
                    </a:prstGeom>
                    <a:ln>
                      <a:noFill/>
                    </a:ln>
                  </pic:spPr>
                </pic:pic>
              </a:graphicData>
            </a:graphic>
          </wp:inline>
        </w:drawing>
      </w:r>
    </w:p>
    <w:p>
      <w:pPr>
        <w:jc w:val="both"/>
        <w:rPr>
          <w:b/>
          <w:sz w:val="16"/>
          <w:szCs w:val="16"/>
        </w:rPr>
      </w:pPr>
    </w:p>
    <w:p>
      <w:pPr>
        <w:jc w:val="both"/>
        <w:rPr>
          <w:b/>
          <w:sz w:val="16"/>
          <w:szCs w:val="16"/>
        </w:rPr>
      </w:pPr>
    </w:p>
    <w:p>
      <w:pPr>
        <w:jc w:val="both"/>
        <w:rPr>
          <w:b/>
          <w:sz w:val="16"/>
          <w:szCs w:val="16"/>
        </w:rPr>
      </w:pPr>
    </w:p>
    <w:p>
      <w:pPr>
        <w:jc w:val="both"/>
        <w:rPr>
          <w:b/>
          <w:sz w:val="16"/>
          <w:szCs w:val="16"/>
        </w:rPr>
      </w:pPr>
      <w:r>
        <w:drawing>
          <wp:inline distT="0" distB="0" distL="0" distR="0">
            <wp:extent cx="5755005" cy="146177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9"/>
                    <a:srcRect/>
                    <a:stretch>
                      <a:fillRect/>
                    </a:stretch>
                  </pic:blipFill>
                  <pic:spPr>
                    <a:xfrm>
                      <a:off x="0" y="0"/>
                      <a:ext cx="5756275" cy="1462292"/>
                    </a:xfrm>
                    <a:prstGeom prst="rect">
                      <a:avLst/>
                    </a:prstGeom>
                    <a:ln>
                      <a:noFill/>
                    </a:ln>
                  </pic:spPr>
                </pic:pic>
              </a:graphicData>
            </a:graphic>
          </wp:inline>
        </w:drawing>
      </w:r>
    </w:p>
    <w:p>
      <w:pPr>
        <w:jc w:val="center"/>
        <w:rPr>
          <w:b/>
          <w:sz w:val="16"/>
          <w:szCs w:val="16"/>
        </w:rPr>
      </w:pPr>
      <w:r>
        <w:drawing>
          <wp:inline distT="0" distB="0" distL="0" distR="0">
            <wp:extent cx="2265680" cy="303085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0"/>
                    <a:srcRect/>
                    <a:stretch>
                      <a:fillRect/>
                    </a:stretch>
                  </pic:blipFill>
                  <pic:spPr>
                    <a:xfrm>
                      <a:off x="0" y="0"/>
                      <a:ext cx="2266405" cy="3031874"/>
                    </a:xfrm>
                    <a:prstGeom prst="rect">
                      <a:avLst/>
                    </a:prstGeom>
                    <a:ln>
                      <a:noFill/>
                    </a:ln>
                  </pic:spPr>
                </pic:pic>
              </a:graphicData>
            </a:graphic>
          </wp:inline>
        </w:drawing>
      </w:r>
    </w:p>
    <w:p>
      <w:pPr>
        <w:jc w:val="center"/>
        <w:rPr>
          <w:b/>
          <w:sz w:val="16"/>
          <w:szCs w:val="16"/>
        </w:rPr>
      </w:pPr>
    </w:p>
    <w:p>
      <w:pPr>
        <w:jc w:val="center"/>
        <w:rPr>
          <w:b/>
          <w:sz w:val="16"/>
          <w:szCs w:val="16"/>
        </w:rPr>
      </w:pPr>
      <w:r>
        <w:drawing>
          <wp:inline distT="0" distB="0" distL="0" distR="0">
            <wp:extent cx="2451100" cy="3001010"/>
            <wp:effectExtent l="0" t="0" r="635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1"/>
                    <a:srcRect/>
                    <a:stretch>
                      <a:fillRect/>
                    </a:stretch>
                  </pic:blipFill>
                  <pic:spPr>
                    <a:xfrm>
                      <a:off x="0" y="0"/>
                      <a:ext cx="2451775" cy="3001683"/>
                    </a:xfrm>
                    <a:prstGeom prst="rect">
                      <a:avLst/>
                    </a:prstGeom>
                    <a:ln>
                      <a:noFill/>
                    </a:ln>
                  </pic:spPr>
                </pic:pic>
              </a:graphicData>
            </a:graphic>
          </wp:inline>
        </w:drawing>
      </w:r>
    </w:p>
    <w:p>
      <w:pPr>
        <w:jc w:val="center"/>
        <w:rPr>
          <w:b/>
          <w:sz w:val="16"/>
          <w:szCs w:val="16"/>
        </w:rPr>
      </w:pPr>
    </w:p>
    <w:p>
      <w:pPr>
        <w:jc w:val="center"/>
        <w:rPr>
          <w:b/>
          <w:sz w:val="16"/>
          <w:szCs w:val="16"/>
        </w:rPr>
      </w:pPr>
      <w:r>
        <w:drawing>
          <wp:inline distT="0" distB="0" distL="0" distR="0">
            <wp:extent cx="2435225" cy="3081020"/>
            <wp:effectExtent l="0" t="0" r="317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22"/>
                    <a:srcRect/>
                    <a:stretch>
                      <a:fillRect/>
                    </a:stretch>
                  </pic:blipFill>
                  <pic:spPr>
                    <a:xfrm>
                      <a:off x="0" y="0"/>
                      <a:ext cx="2435985" cy="3082085"/>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005" cy="184340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3"/>
                    <a:srcRect/>
                    <a:stretch>
                      <a:fillRect/>
                    </a:stretch>
                  </pic:blipFill>
                  <pic:spPr>
                    <a:xfrm>
                      <a:off x="0" y="0"/>
                      <a:ext cx="5756275" cy="1843830"/>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tbl>
      <w:tblPr>
        <w:tblStyle w:val="7"/>
        <w:tblW w:w="9055"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5"/>
        <w:gridCol w:w="1213"/>
        <w:gridCol w:w="2221"/>
        <w:gridCol w:w="832"/>
        <w:gridCol w:w="1240"/>
        <w:gridCol w:w="1212"/>
        <w:gridCol w:w="950"/>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30" w:type="dxa"/>
            <w:shd w:val="clear" w:color="auto" w:fill="E7E6E6" w:themeFill="background2"/>
            <w:vAlign w:val="center"/>
          </w:tcPr>
          <w:p>
            <w:pPr>
              <w:rPr>
                <w:b/>
                <w:sz w:val="16"/>
                <w:szCs w:val="16"/>
              </w:rPr>
            </w:pPr>
            <w:r>
              <w:rPr>
                <w:b/>
                <w:sz w:val="16"/>
                <w:szCs w:val="16"/>
              </w:rPr>
              <w:t>Código</w:t>
            </w:r>
          </w:p>
        </w:tc>
        <w:tc>
          <w:tcPr>
            <w:tcW w:w="1183" w:type="dxa"/>
            <w:shd w:val="clear" w:color="auto" w:fill="E7E6E6" w:themeFill="background2"/>
            <w:vAlign w:val="center"/>
          </w:tcPr>
          <w:p>
            <w:pPr>
              <w:rPr>
                <w:b/>
                <w:sz w:val="16"/>
                <w:szCs w:val="16"/>
              </w:rPr>
            </w:pPr>
            <w:r>
              <w:rPr>
                <w:b/>
                <w:sz w:val="16"/>
                <w:szCs w:val="16"/>
              </w:rPr>
              <w:t>Entidad Contratante</w:t>
            </w:r>
          </w:p>
        </w:tc>
        <w:tc>
          <w:tcPr>
            <w:tcW w:w="2191" w:type="dxa"/>
            <w:shd w:val="clear" w:color="auto" w:fill="E7E6E6" w:themeFill="background2"/>
            <w:vAlign w:val="center"/>
          </w:tcPr>
          <w:p>
            <w:pPr>
              <w:rPr>
                <w:b/>
                <w:sz w:val="16"/>
                <w:szCs w:val="16"/>
              </w:rPr>
            </w:pPr>
            <w:r>
              <w:rPr>
                <w:b/>
                <w:sz w:val="16"/>
                <w:szCs w:val="16"/>
              </w:rPr>
              <w:t>Objeto del Proceso</w:t>
            </w:r>
          </w:p>
        </w:tc>
        <w:tc>
          <w:tcPr>
            <w:tcW w:w="802" w:type="dxa"/>
            <w:shd w:val="clear" w:color="auto" w:fill="E7E6E6" w:themeFill="background2"/>
            <w:vAlign w:val="center"/>
          </w:tcPr>
          <w:p>
            <w:pPr>
              <w:rPr>
                <w:b/>
                <w:sz w:val="16"/>
                <w:szCs w:val="16"/>
              </w:rPr>
            </w:pPr>
            <w:r>
              <w:rPr>
                <w:b/>
                <w:sz w:val="16"/>
                <w:szCs w:val="16"/>
              </w:rPr>
              <w:t>Estado del Proceso</w:t>
            </w:r>
          </w:p>
        </w:tc>
        <w:tc>
          <w:tcPr>
            <w:tcW w:w="1210" w:type="dxa"/>
            <w:shd w:val="clear" w:color="auto" w:fill="E7E6E6" w:themeFill="background2"/>
            <w:vAlign w:val="center"/>
          </w:tcPr>
          <w:p>
            <w:pPr>
              <w:rPr>
                <w:b/>
                <w:sz w:val="16"/>
                <w:szCs w:val="16"/>
              </w:rPr>
            </w:pPr>
            <w:r>
              <w:rPr>
                <w:b/>
                <w:sz w:val="16"/>
                <w:szCs w:val="16"/>
              </w:rPr>
              <w:t>Provincia/Cantón</w:t>
            </w:r>
          </w:p>
        </w:tc>
        <w:tc>
          <w:tcPr>
            <w:tcW w:w="1182" w:type="dxa"/>
            <w:shd w:val="clear" w:color="auto" w:fill="E7E6E6" w:themeFill="background2"/>
            <w:vAlign w:val="center"/>
          </w:tcPr>
          <w:p>
            <w:pPr>
              <w:rPr>
                <w:b/>
                <w:sz w:val="16"/>
                <w:szCs w:val="16"/>
              </w:rPr>
            </w:pPr>
            <w:r>
              <w:rPr>
                <w:b/>
                <w:sz w:val="16"/>
                <w:szCs w:val="16"/>
              </w:rPr>
              <w:t>Presupuesto Referencial Total (sin iva)</w:t>
            </w:r>
          </w:p>
        </w:tc>
        <w:tc>
          <w:tcPr>
            <w:tcW w:w="920" w:type="dxa"/>
            <w:shd w:val="clear" w:color="auto" w:fill="E7E6E6" w:themeFill="background2"/>
            <w:vAlign w:val="center"/>
          </w:tcPr>
          <w:p>
            <w:pPr>
              <w:rPr>
                <w:b/>
                <w:sz w:val="16"/>
                <w:szCs w:val="16"/>
              </w:rPr>
            </w:pPr>
            <w:r>
              <w:rPr>
                <w:b/>
                <w:sz w:val="16"/>
                <w:szCs w:val="16"/>
              </w:rPr>
              <w:t>Fecha de Publicación</w:t>
            </w:r>
          </w:p>
        </w:tc>
        <w:tc>
          <w:tcPr>
            <w:tcW w:w="667" w:type="dxa"/>
            <w:shd w:val="clear" w:color="auto" w:fill="E7E6E6" w:themeFill="background2"/>
            <w:vAlign w:val="center"/>
          </w:tcPr>
          <w:p>
            <w:pPr>
              <w:rPr>
                <w:b/>
                <w:sz w:val="16"/>
                <w:szCs w:val="16"/>
              </w:rPr>
            </w:pPr>
            <w:r>
              <w:rPr>
                <w:b/>
                <w:sz w:val="16"/>
                <w:szCs w:val="16"/>
              </w:rPr>
              <w:t>Opciones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30" w:type="dxa"/>
          </w:tcPr>
          <w:p>
            <w:pPr>
              <w:rPr>
                <w:sz w:val="16"/>
                <w:szCs w:val="16"/>
              </w:rPr>
            </w:pPr>
            <w:r>
              <w:fldChar w:fldCharType="begin"/>
            </w:r>
            <w:r>
              <w:instrText xml:space="preserve"> HYPERLINK "https://www.compraspublicas.gob.ec/ProcesoContratacion/compras/PC/informacionProcesoContratacion2.cpe?idSoliCompra=FAAe-5QKL4OZQpKz0Qjv1j2Np7TyBB2sKgxz777wPtk," </w:instrText>
            </w:r>
            <w:r>
              <w:fldChar w:fldCharType="separate"/>
            </w:r>
            <w:r>
              <w:rPr>
                <w:rStyle w:val="19"/>
                <w:sz w:val="16"/>
                <w:szCs w:val="16"/>
              </w:rPr>
              <w:t xml:space="preserve">RE-UNL-003-2019 </w:t>
            </w:r>
            <w:r>
              <w:rPr>
                <w:rStyle w:val="19"/>
                <w:sz w:val="16"/>
                <w:szCs w:val="16"/>
              </w:rPr>
              <w:fldChar w:fldCharType="end"/>
            </w:r>
          </w:p>
        </w:tc>
        <w:tc>
          <w:tcPr>
            <w:tcW w:w="1183" w:type="dxa"/>
          </w:tcPr>
          <w:p>
            <w:pPr>
              <w:rPr>
                <w:sz w:val="16"/>
                <w:szCs w:val="16"/>
              </w:rPr>
            </w:pPr>
            <w:r>
              <w:rPr>
                <w:sz w:val="16"/>
                <w:szCs w:val="16"/>
              </w:rPr>
              <w:t>UNIVERSIDAD NACIONAL DE LOJA</w:t>
            </w:r>
          </w:p>
        </w:tc>
        <w:tc>
          <w:tcPr>
            <w:tcW w:w="2191" w:type="dxa"/>
          </w:tcPr>
          <w:p>
            <w:pPr>
              <w:rPr>
                <w:sz w:val="16"/>
                <w:szCs w:val="16"/>
              </w:rPr>
            </w:pPr>
            <w:r>
              <w:rPr>
                <w:sz w:val="16"/>
                <w:szCs w:val="16"/>
              </w:rPr>
              <w:t>CONTRATACION DE ESPACIOS PUBLICITARIOS E INFORMATIVOS EN PRENSA ESCRITA EN EL DIARIO LA CRÓNICA</w:t>
            </w:r>
          </w:p>
        </w:tc>
        <w:tc>
          <w:tcPr>
            <w:tcW w:w="802" w:type="dxa"/>
          </w:tcPr>
          <w:p>
            <w:pPr>
              <w:rPr>
                <w:sz w:val="16"/>
                <w:szCs w:val="16"/>
              </w:rPr>
            </w:pPr>
            <w:r>
              <w:rPr>
                <w:sz w:val="16"/>
                <w:szCs w:val="16"/>
              </w:rPr>
              <w:t>Finalizada</w:t>
            </w:r>
          </w:p>
        </w:tc>
        <w:tc>
          <w:tcPr>
            <w:tcW w:w="1210" w:type="dxa"/>
          </w:tcPr>
          <w:p>
            <w:pPr>
              <w:rPr>
                <w:sz w:val="16"/>
                <w:szCs w:val="16"/>
              </w:rPr>
            </w:pPr>
            <w:r>
              <w:rPr>
                <w:sz w:val="16"/>
                <w:szCs w:val="16"/>
              </w:rPr>
              <w:t>LOJA / LOJA</w:t>
            </w:r>
          </w:p>
        </w:tc>
        <w:tc>
          <w:tcPr>
            <w:tcW w:w="1182" w:type="dxa"/>
          </w:tcPr>
          <w:p>
            <w:pPr>
              <w:rPr>
                <w:sz w:val="16"/>
                <w:szCs w:val="16"/>
              </w:rPr>
            </w:pPr>
            <w:r>
              <w:rPr>
                <w:sz w:val="16"/>
                <w:szCs w:val="16"/>
              </w:rPr>
              <w:t>$2,232.14</w:t>
            </w:r>
          </w:p>
        </w:tc>
        <w:tc>
          <w:tcPr>
            <w:tcW w:w="920" w:type="dxa"/>
          </w:tcPr>
          <w:p>
            <w:pPr>
              <w:rPr>
                <w:sz w:val="16"/>
                <w:szCs w:val="16"/>
              </w:rPr>
            </w:pPr>
            <w:r>
              <w:rPr>
                <w:sz w:val="16"/>
                <w:szCs w:val="16"/>
              </w:rPr>
              <w:t>2019-06-03 12:15:00</w:t>
            </w:r>
          </w:p>
        </w:tc>
        <w:tc>
          <w:tcPr>
            <w:tcW w:w="667" w:type="dxa"/>
            <w:vAlign w:val="center"/>
          </w:tcPr>
          <w:p>
            <w:pPr>
              <w:rPr>
                <w:sz w:val="16"/>
                <w:szCs w:val="16"/>
              </w:rPr>
            </w:pPr>
            <w:r>
              <w:rPr>
                <w:sz w:val="16"/>
                <w:szCs w:val="16"/>
              </w:rPr>
              <w:t> </w:t>
            </w:r>
          </w:p>
        </w:tc>
      </w:tr>
    </w:tbl>
    <w:p>
      <w:pPr>
        <w:rPr>
          <w:vanish/>
        </w:rPr>
      </w:pP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005" cy="22707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24"/>
                    <a:srcRect/>
                    <a:stretch>
                      <a:fillRect/>
                    </a:stretch>
                  </pic:blipFill>
                  <pic:spPr>
                    <a:xfrm>
                      <a:off x="0" y="0"/>
                      <a:ext cx="5756275" cy="2271237"/>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005" cy="17227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25"/>
                    <a:srcRect/>
                    <a:stretch>
                      <a:fillRect/>
                    </a:stretch>
                  </pic:blipFill>
                  <pic:spPr>
                    <a:xfrm>
                      <a:off x="0" y="0"/>
                      <a:ext cx="5756275" cy="1723560"/>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tbl>
      <w:tblPr>
        <w:tblStyle w:val="7"/>
        <w:tblW w:w="9055"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75"/>
        <w:gridCol w:w="1215"/>
        <w:gridCol w:w="2183"/>
        <w:gridCol w:w="865"/>
        <w:gridCol w:w="1240"/>
        <w:gridCol w:w="1214"/>
        <w:gridCol w:w="951"/>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30" w:type="dxa"/>
            <w:shd w:val="clear" w:color="auto" w:fill="E7E6E6" w:themeFill="background2"/>
            <w:vAlign w:val="center"/>
          </w:tcPr>
          <w:p>
            <w:pPr>
              <w:rPr>
                <w:b/>
                <w:sz w:val="16"/>
                <w:szCs w:val="16"/>
              </w:rPr>
            </w:pPr>
            <w:r>
              <w:rPr>
                <w:b/>
                <w:sz w:val="16"/>
                <w:szCs w:val="16"/>
              </w:rPr>
              <w:t>Código</w:t>
            </w:r>
          </w:p>
        </w:tc>
        <w:tc>
          <w:tcPr>
            <w:tcW w:w="1185" w:type="dxa"/>
            <w:shd w:val="clear" w:color="auto" w:fill="E7E6E6" w:themeFill="background2"/>
            <w:vAlign w:val="center"/>
          </w:tcPr>
          <w:p>
            <w:pPr>
              <w:rPr>
                <w:b/>
                <w:sz w:val="16"/>
                <w:szCs w:val="16"/>
              </w:rPr>
            </w:pPr>
            <w:r>
              <w:rPr>
                <w:b/>
                <w:sz w:val="16"/>
                <w:szCs w:val="16"/>
              </w:rPr>
              <w:t>Entidad Contratante</w:t>
            </w:r>
          </w:p>
        </w:tc>
        <w:tc>
          <w:tcPr>
            <w:tcW w:w="2153" w:type="dxa"/>
            <w:shd w:val="clear" w:color="auto" w:fill="E7E6E6" w:themeFill="background2"/>
            <w:vAlign w:val="center"/>
          </w:tcPr>
          <w:p>
            <w:pPr>
              <w:rPr>
                <w:b/>
                <w:sz w:val="16"/>
                <w:szCs w:val="16"/>
              </w:rPr>
            </w:pPr>
            <w:r>
              <w:rPr>
                <w:b/>
                <w:sz w:val="16"/>
                <w:szCs w:val="16"/>
              </w:rPr>
              <w:t>Objeto del Proceso</w:t>
            </w:r>
          </w:p>
        </w:tc>
        <w:tc>
          <w:tcPr>
            <w:tcW w:w="835" w:type="dxa"/>
            <w:shd w:val="clear" w:color="auto" w:fill="E7E6E6" w:themeFill="background2"/>
            <w:vAlign w:val="center"/>
          </w:tcPr>
          <w:p>
            <w:pPr>
              <w:rPr>
                <w:b/>
                <w:sz w:val="16"/>
                <w:szCs w:val="16"/>
              </w:rPr>
            </w:pPr>
            <w:r>
              <w:rPr>
                <w:b/>
                <w:sz w:val="16"/>
                <w:szCs w:val="16"/>
              </w:rPr>
              <w:t>Estado del Proceso</w:t>
            </w:r>
          </w:p>
        </w:tc>
        <w:tc>
          <w:tcPr>
            <w:tcW w:w="1210" w:type="dxa"/>
            <w:shd w:val="clear" w:color="auto" w:fill="E7E6E6" w:themeFill="background2"/>
            <w:vAlign w:val="center"/>
          </w:tcPr>
          <w:p>
            <w:pPr>
              <w:rPr>
                <w:b/>
                <w:sz w:val="16"/>
                <w:szCs w:val="16"/>
              </w:rPr>
            </w:pPr>
            <w:r>
              <w:rPr>
                <w:b/>
                <w:sz w:val="16"/>
                <w:szCs w:val="16"/>
              </w:rPr>
              <w:t>Provincia/Cantón</w:t>
            </w:r>
          </w:p>
        </w:tc>
        <w:tc>
          <w:tcPr>
            <w:tcW w:w="1184" w:type="dxa"/>
            <w:shd w:val="clear" w:color="auto" w:fill="E7E6E6" w:themeFill="background2"/>
            <w:vAlign w:val="center"/>
          </w:tcPr>
          <w:p>
            <w:pPr>
              <w:rPr>
                <w:b/>
                <w:sz w:val="16"/>
                <w:szCs w:val="16"/>
              </w:rPr>
            </w:pPr>
            <w:r>
              <w:rPr>
                <w:b/>
                <w:sz w:val="16"/>
                <w:szCs w:val="16"/>
              </w:rPr>
              <w:t>Presupuesto Referencial Total (sin iva)</w:t>
            </w:r>
          </w:p>
        </w:tc>
        <w:tc>
          <w:tcPr>
            <w:tcW w:w="921" w:type="dxa"/>
            <w:shd w:val="clear" w:color="auto" w:fill="E7E6E6" w:themeFill="background2"/>
            <w:vAlign w:val="center"/>
          </w:tcPr>
          <w:p>
            <w:pPr>
              <w:rPr>
                <w:b/>
                <w:sz w:val="16"/>
                <w:szCs w:val="16"/>
              </w:rPr>
            </w:pPr>
            <w:r>
              <w:rPr>
                <w:b/>
                <w:sz w:val="16"/>
                <w:szCs w:val="16"/>
              </w:rPr>
              <w:t>Fecha de Publicación</w:t>
            </w:r>
          </w:p>
        </w:tc>
        <w:tc>
          <w:tcPr>
            <w:tcW w:w="667" w:type="dxa"/>
            <w:shd w:val="clear" w:color="auto" w:fill="E7E6E6" w:themeFill="background2"/>
            <w:vAlign w:val="center"/>
          </w:tcPr>
          <w:p>
            <w:pPr>
              <w:rPr>
                <w:b/>
                <w:sz w:val="16"/>
                <w:szCs w:val="16"/>
              </w:rPr>
            </w:pPr>
            <w:r>
              <w:rPr>
                <w:b/>
                <w:sz w:val="16"/>
                <w:szCs w:val="16"/>
              </w:rPr>
              <w:t>Opciones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30" w:type="dxa"/>
          </w:tcPr>
          <w:p>
            <w:pPr>
              <w:rPr>
                <w:sz w:val="16"/>
                <w:szCs w:val="16"/>
              </w:rPr>
            </w:pPr>
            <w:r>
              <w:fldChar w:fldCharType="begin"/>
            </w:r>
            <w:r>
              <w:instrText xml:space="preserve"> HYPERLINK "https://www.compraspublicas.gob.ec/ProcesoContratacion/compras/PC/informacionProcesoContratacion2.cpe?idSoliCompra=5dOHBWirREJHzwJz4OoPylkv4G7yCG12HLOEPxo9Jx8," </w:instrText>
            </w:r>
            <w:r>
              <w:fldChar w:fldCharType="separate"/>
            </w:r>
            <w:r>
              <w:rPr>
                <w:rStyle w:val="19"/>
                <w:sz w:val="16"/>
                <w:szCs w:val="16"/>
              </w:rPr>
              <w:t xml:space="preserve">RE-UNL-012-2019 </w:t>
            </w:r>
            <w:r>
              <w:rPr>
                <w:rStyle w:val="19"/>
                <w:sz w:val="16"/>
                <w:szCs w:val="16"/>
              </w:rPr>
              <w:fldChar w:fldCharType="end"/>
            </w:r>
          </w:p>
        </w:tc>
        <w:tc>
          <w:tcPr>
            <w:tcW w:w="1185" w:type="dxa"/>
          </w:tcPr>
          <w:p>
            <w:pPr>
              <w:rPr>
                <w:sz w:val="16"/>
                <w:szCs w:val="16"/>
              </w:rPr>
            </w:pPr>
            <w:r>
              <w:rPr>
                <w:sz w:val="16"/>
                <w:szCs w:val="16"/>
              </w:rPr>
              <w:t>UNIVERSIDAD NACIONAL DE LOJA</w:t>
            </w:r>
          </w:p>
        </w:tc>
        <w:tc>
          <w:tcPr>
            <w:tcW w:w="2153" w:type="dxa"/>
          </w:tcPr>
          <w:p>
            <w:pPr>
              <w:rPr>
                <w:sz w:val="16"/>
                <w:szCs w:val="16"/>
              </w:rPr>
            </w:pPr>
            <w:r>
              <w:rPr>
                <w:sz w:val="16"/>
                <w:szCs w:val="16"/>
              </w:rPr>
              <w:t>CONTRATACION DE ESPACIOS PUBLICITARIOS E INFORMATIVOS EN TELEVISIÓN EN IDEASDELSUR CIA. LTDA</w:t>
            </w:r>
          </w:p>
        </w:tc>
        <w:tc>
          <w:tcPr>
            <w:tcW w:w="835" w:type="dxa"/>
          </w:tcPr>
          <w:p>
            <w:pPr>
              <w:rPr>
                <w:sz w:val="16"/>
                <w:szCs w:val="16"/>
              </w:rPr>
            </w:pPr>
            <w:r>
              <w:rPr>
                <w:sz w:val="16"/>
                <w:szCs w:val="16"/>
              </w:rPr>
              <w:t>Ejecución de Contrato</w:t>
            </w:r>
          </w:p>
        </w:tc>
        <w:tc>
          <w:tcPr>
            <w:tcW w:w="1210" w:type="dxa"/>
          </w:tcPr>
          <w:p>
            <w:pPr>
              <w:rPr>
                <w:sz w:val="16"/>
                <w:szCs w:val="16"/>
              </w:rPr>
            </w:pPr>
            <w:r>
              <w:rPr>
                <w:sz w:val="16"/>
                <w:szCs w:val="16"/>
              </w:rPr>
              <w:t>LOJA / LOJA</w:t>
            </w:r>
          </w:p>
        </w:tc>
        <w:tc>
          <w:tcPr>
            <w:tcW w:w="1184" w:type="dxa"/>
          </w:tcPr>
          <w:p>
            <w:pPr>
              <w:rPr>
                <w:sz w:val="16"/>
                <w:szCs w:val="16"/>
              </w:rPr>
            </w:pPr>
            <w:r>
              <w:rPr>
                <w:sz w:val="16"/>
                <w:szCs w:val="16"/>
              </w:rPr>
              <w:t>$1,339.29</w:t>
            </w:r>
          </w:p>
        </w:tc>
        <w:tc>
          <w:tcPr>
            <w:tcW w:w="921" w:type="dxa"/>
          </w:tcPr>
          <w:p>
            <w:pPr>
              <w:rPr>
                <w:sz w:val="16"/>
                <w:szCs w:val="16"/>
              </w:rPr>
            </w:pPr>
            <w:r>
              <w:rPr>
                <w:sz w:val="16"/>
                <w:szCs w:val="16"/>
              </w:rPr>
              <w:t>2019-08-30 12:00:00</w:t>
            </w:r>
          </w:p>
        </w:tc>
        <w:tc>
          <w:tcPr>
            <w:tcW w:w="667" w:type="dxa"/>
            <w:vAlign w:val="center"/>
          </w:tcPr>
          <w:p>
            <w:pPr>
              <w:rPr>
                <w:sz w:val="16"/>
                <w:szCs w:val="16"/>
              </w:rPr>
            </w:pPr>
            <w:r>
              <w:rPr>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30" w:type="dxa"/>
          </w:tcPr>
          <w:p>
            <w:pPr>
              <w:rPr>
                <w:sz w:val="16"/>
                <w:szCs w:val="16"/>
              </w:rPr>
            </w:pPr>
            <w:r>
              <w:fldChar w:fldCharType="begin"/>
            </w:r>
            <w:r>
              <w:instrText xml:space="preserve"> HYPERLINK "https://www.compraspublicas.gob.ec/ProcesoContratacion/compras/PC/informacionProcesoContratacion2.cpe?idSoliCompra=D1TmRL17DLYAYZ5SbbqO4pi0CSG1tN_k29J6IDZojkc," </w:instrText>
            </w:r>
            <w:r>
              <w:fldChar w:fldCharType="separate"/>
            </w:r>
            <w:r>
              <w:rPr>
                <w:rStyle w:val="19"/>
                <w:sz w:val="16"/>
                <w:szCs w:val="16"/>
              </w:rPr>
              <w:t xml:space="preserve">RE-UNL-010-2019 </w:t>
            </w:r>
            <w:r>
              <w:rPr>
                <w:rStyle w:val="19"/>
                <w:sz w:val="16"/>
                <w:szCs w:val="16"/>
              </w:rPr>
              <w:fldChar w:fldCharType="end"/>
            </w:r>
          </w:p>
        </w:tc>
        <w:tc>
          <w:tcPr>
            <w:tcW w:w="1185" w:type="dxa"/>
          </w:tcPr>
          <w:p>
            <w:pPr>
              <w:rPr>
                <w:sz w:val="16"/>
                <w:szCs w:val="16"/>
              </w:rPr>
            </w:pPr>
            <w:r>
              <w:rPr>
                <w:sz w:val="16"/>
                <w:szCs w:val="16"/>
              </w:rPr>
              <w:t>UNIVERSIDAD NACIONAL DE LOJA</w:t>
            </w:r>
          </w:p>
        </w:tc>
        <w:tc>
          <w:tcPr>
            <w:tcW w:w="2153" w:type="dxa"/>
          </w:tcPr>
          <w:p>
            <w:pPr>
              <w:rPr>
                <w:sz w:val="16"/>
                <w:szCs w:val="16"/>
              </w:rPr>
            </w:pPr>
            <w:r>
              <w:rPr>
                <w:sz w:val="16"/>
                <w:szCs w:val="16"/>
              </w:rPr>
              <w:t>CONTRATACIÓN DE SERVICIOS DE PUBLICIDAD CON EL SR. GERMAN RAMIRO CUEVA</w:t>
            </w:r>
          </w:p>
        </w:tc>
        <w:tc>
          <w:tcPr>
            <w:tcW w:w="835" w:type="dxa"/>
          </w:tcPr>
          <w:p>
            <w:pPr>
              <w:rPr>
                <w:sz w:val="16"/>
                <w:szCs w:val="16"/>
              </w:rPr>
            </w:pPr>
            <w:r>
              <w:rPr>
                <w:sz w:val="16"/>
                <w:szCs w:val="16"/>
              </w:rPr>
              <w:t>Ejecución de Contrato</w:t>
            </w:r>
          </w:p>
        </w:tc>
        <w:tc>
          <w:tcPr>
            <w:tcW w:w="1210" w:type="dxa"/>
          </w:tcPr>
          <w:p>
            <w:pPr>
              <w:rPr>
                <w:sz w:val="16"/>
                <w:szCs w:val="16"/>
              </w:rPr>
            </w:pPr>
            <w:r>
              <w:rPr>
                <w:sz w:val="16"/>
                <w:szCs w:val="16"/>
              </w:rPr>
              <w:t>LOJA / LOJA</w:t>
            </w:r>
          </w:p>
        </w:tc>
        <w:tc>
          <w:tcPr>
            <w:tcW w:w="1184" w:type="dxa"/>
          </w:tcPr>
          <w:p>
            <w:pPr>
              <w:rPr>
                <w:sz w:val="16"/>
                <w:szCs w:val="16"/>
              </w:rPr>
            </w:pPr>
            <w:r>
              <w:rPr>
                <w:sz w:val="16"/>
                <w:szCs w:val="16"/>
              </w:rPr>
              <w:t>$2,232.14</w:t>
            </w:r>
          </w:p>
        </w:tc>
        <w:tc>
          <w:tcPr>
            <w:tcW w:w="921" w:type="dxa"/>
          </w:tcPr>
          <w:p>
            <w:pPr>
              <w:rPr>
                <w:sz w:val="16"/>
                <w:szCs w:val="16"/>
              </w:rPr>
            </w:pPr>
            <w:r>
              <w:rPr>
                <w:sz w:val="16"/>
                <w:szCs w:val="16"/>
              </w:rPr>
              <w:t>2019-08-12 11:05:00</w:t>
            </w:r>
          </w:p>
        </w:tc>
        <w:tc>
          <w:tcPr>
            <w:tcW w:w="667" w:type="dxa"/>
            <w:vAlign w:val="center"/>
          </w:tcPr>
          <w:p>
            <w:pPr>
              <w:rPr>
                <w:sz w:val="16"/>
                <w:szCs w:val="16"/>
              </w:rPr>
            </w:pPr>
            <w:r>
              <w:rPr>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630" w:type="dxa"/>
          </w:tcPr>
          <w:p>
            <w:pPr>
              <w:rPr>
                <w:sz w:val="16"/>
                <w:szCs w:val="16"/>
              </w:rPr>
            </w:pPr>
            <w:r>
              <w:fldChar w:fldCharType="begin"/>
            </w:r>
            <w:r>
              <w:instrText xml:space="preserve"> HYPERLINK "https://www.compraspublicas.gob.ec/ProcesoContratacion/compras/PC/informacionProcesoContratacion2.cpe?idSoliCompra=yfHD5QvuXQaFscBCavBA9ccGsIOihM_LaZzGMduyTt0," </w:instrText>
            </w:r>
            <w:r>
              <w:fldChar w:fldCharType="separate"/>
            </w:r>
            <w:r>
              <w:rPr>
                <w:rStyle w:val="19"/>
                <w:sz w:val="16"/>
                <w:szCs w:val="16"/>
              </w:rPr>
              <w:t xml:space="preserve">RE-UNL-008-2019 </w:t>
            </w:r>
            <w:r>
              <w:rPr>
                <w:rStyle w:val="19"/>
                <w:sz w:val="16"/>
                <w:szCs w:val="16"/>
              </w:rPr>
              <w:fldChar w:fldCharType="end"/>
            </w:r>
          </w:p>
        </w:tc>
        <w:tc>
          <w:tcPr>
            <w:tcW w:w="1185" w:type="dxa"/>
          </w:tcPr>
          <w:p>
            <w:pPr>
              <w:rPr>
                <w:sz w:val="16"/>
                <w:szCs w:val="16"/>
              </w:rPr>
            </w:pPr>
            <w:r>
              <w:rPr>
                <w:sz w:val="16"/>
                <w:szCs w:val="16"/>
              </w:rPr>
              <w:t>UNIVERSIDAD NACIONAL DE LOJA</w:t>
            </w:r>
          </w:p>
        </w:tc>
        <w:tc>
          <w:tcPr>
            <w:tcW w:w="2153" w:type="dxa"/>
          </w:tcPr>
          <w:p>
            <w:pPr>
              <w:rPr>
                <w:sz w:val="16"/>
                <w:szCs w:val="16"/>
              </w:rPr>
            </w:pPr>
            <w:r>
              <w:rPr>
                <w:sz w:val="16"/>
                <w:szCs w:val="16"/>
              </w:rPr>
              <w:t>CONTRATACION DE ESPACIOS PUBLICITARIOS E INFORMATIVOS EN PRENSA ESCRITA EN DIARIO LA HORA</w:t>
            </w:r>
          </w:p>
        </w:tc>
        <w:tc>
          <w:tcPr>
            <w:tcW w:w="835" w:type="dxa"/>
          </w:tcPr>
          <w:p>
            <w:pPr>
              <w:rPr>
                <w:sz w:val="16"/>
                <w:szCs w:val="16"/>
              </w:rPr>
            </w:pPr>
            <w:r>
              <w:rPr>
                <w:sz w:val="16"/>
                <w:szCs w:val="16"/>
              </w:rPr>
              <w:t>Finalizada</w:t>
            </w:r>
          </w:p>
        </w:tc>
        <w:tc>
          <w:tcPr>
            <w:tcW w:w="1210" w:type="dxa"/>
          </w:tcPr>
          <w:p>
            <w:pPr>
              <w:rPr>
                <w:sz w:val="16"/>
                <w:szCs w:val="16"/>
              </w:rPr>
            </w:pPr>
            <w:r>
              <w:rPr>
                <w:sz w:val="16"/>
                <w:szCs w:val="16"/>
              </w:rPr>
              <w:t>LOJA / LOJA</w:t>
            </w:r>
          </w:p>
        </w:tc>
        <w:tc>
          <w:tcPr>
            <w:tcW w:w="1184" w:type="dxa"/>
          </w:tcPr>
          <w:p>
            <w:pPr>
              <w:rPr>
                <w:sz w:val="16"/>
                <w:szCs w:val="16"/>
              </w:rPr>
            </w:pPr>
            <w:r>
              <w:rPr>
                <w:sz w:val="16"/>
                <w:szCs w:val="16"/>
              </w:rPr>
              <w:t>$2,232.14</w:t>
            </w:r>
          </w:p>
        </w:tc>
        <w:tc>
          <w:tcPr>
            <w:tcW w:w="921" w:type="dxa"/>
          </w:tcPr>
          <w:p>
            <w:pPr>
              <w:rPr>
                <w:sz w:val="16"/>
                <w:szCs w:val="16"/>
              </w:rPr>
            </w:pPr>
            <w:r>
              <w:rPr>
                <w:sz w:val="16"/>
                <w:szCs w:val="16"/>
              </w:rPr>
              <w:t>2019-07-25 10:00:00</w:t>
            </w:r>
          </w:p>
        </w:tc>
        <w:tc>
          <w:tcPr>
            <w:tcW w:w="667" w:type="dxa"/>
            <w:vAlign w:val="center"/>
          </w:tcPr>
          <w:p>
            <w:pPr>
              <w:rPr>
                <w:sz w:val="16"/>
                <w:szCs w:val="16"/>
              </w:rPr>
            </w:pPr>
            <w:r>
              <w:rPr>
                <w:sz w:val="16"/>
                <w:szCs w:val="16"/>
              </w:rPr>
              <w:t> </w:t>
            </w:r>
          </w:p>
        </w:tc>
      </w:tr>
    </w:tbl>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640" cy="13811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26"/>
                    <a:srcRect/>
                    <a:stretch>
                      <a:fillRect/>
                    </a:stretch>
                  </pic:blipFill>
                  <pic:spPr>
                    <a:xfrm>
                      <a:off x="0" y="0"/>
                      <a:ext cx="5756275" cy="1381722"/>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tbl>
      <w:tblPr>
        <w:tblStyle w:val="7"/>
        <w:tblW w:w="9055" w:type="dxa"/>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89"/>
        <w:gridCol w:w="1052"/>
        <w:gridCol w:w="2410"/>
        <w:gridCol w:w="1182"/>
        <w:gridCol w:w="1240"/>
        <w:gridCol w:w="998"/>
        <w:gridCol w:w="872"/>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44" w:type="dxa"/>
            <w:shd w:val="clear" w:color="auto" w:fill="E7E6E6" w:themeFill="background2"/>
            <w:vAlign w:val="center"/>
          </w:tcPr>
          <w:p>
            <w:pPr>
              <w:rPr>
                <w:b/>
                <w:sz w:val="16"/>
                <w:szCs w:val="16"/>
              </w:rPr>
            </w:pPr>
            <w:r>
              <w:rPr>
                <w:b/>
                <w:sz w:val="16"/>
                <w:szCs w:val="16"/>
              </w:rPr>
              <w:t>Código</w:t>
            </w:r>
          </w:p>
        </w:tc>
        <w:tc>
          <w:tcPr>
            <w:tcW w:w="1022" w:type="dxa"/>
            <w:shd w:val="clear" w:color="auto" w:fill="E7E6E6" w:themeFill="background2"/>
            <w:vAlign w:val="center"/>
          </w:tcPr>
          <w:p>
            <w:pPr>
              <w:rPr>
                <w:b/>
                <w:sz w:val="16"/>
                <w:szCs w:val="16"/>
              </w:rPr>
            </w:pPr>
            <w:r>
              <w:rPr>
                <w:b/>
                <w:sz w:val="16"/>
                <w:szCs w:val="16"/>
              </w:rPr>
              <w:t>Entidad Contratante</w:t>
            </w:r>
          </w:p>
        </w:tc>
        <w:tc>
          <w:tcPr>
            <w:tcW w:w="2380" w:type="dxa"/>
            <w:shd w:val="clear" w:color="auto" w:fill="E7E6E6" w:themeFill="background2"/>
            <w:vAlign w:val="center"/>
          </w:tcPr>
          <w:p>
            <w:pPr>
              <w:rPr>
                <w:b/>
                <w:sz w:val="16"/>
                <w:szCs w:val="16"/>
              </w:rPr>
            </w:pPr>
            <w:r>
              <w:rPr>
                <w:b/>
                <w:sz w:val="16"/>
                <w:szCs w:val="16"/>
              </w:rPr>
              <w:t>Objeto del Proceso</w:t>
            </w:r>
          </w:p>
        </w:tc>
        <w:tc>
          <w:tcPr>
            <w:tcW w:w="1152" w:type="dxa"/>
            <w:shd w:val="clear" w:color="auto" w:fill="E7E6E6" w:themeFill="background2"/>
            <w:vAlign w:val="center"/>
          </w:tcPr>
          <w:p>
            <w:pPr>
              <w:rPr>
                <w:b/>
                <w:sz w:val="16"/>
                <w:szCs w:val="16"/>
              </w:rPr>
            </w:pPr>
            <w:r>
              <w:rPr>
                <w:b/>
                <w:sz w:val="16"/>
                <w:szCs w:val="16"/>
              </w:rPr>
              <w:t>Estado del Proceso</w:t>
            </w:r>
          </w:p>
        </w:tc>
        <w:tc>
          <w:tcPr>
            <w:tcW w:w="1210" w:type="dxa"/>
            <w:shd w:val="clear" w:color="auto" w:fill="E7E6E6" w:themeFill="background2"/>
            <w:vAlign w:val="center"/>
          </w:tcPr>
          <w:p>
            <w:pPr>
              <w:rPr>
                <w:b/>
                <w:sz w:val="16"/>
                <w:szCs w:val="16"/>
              </w:rPr>
            </w:pPr>
            <w:r>
              <w:rPr>
                <w:b/>
                <w:sz w:val="16"/>
                <w:szCs w:val="16"/>
              </w:rPr>
              <w:t>Provincia/Cantón</w:t>
            </w:r>
          </w:p>
        </w:tc>
        <w:tc>
          <w:tcPr>
            <w:tcW w:w="968" w:type="dxa"/>
            <w:shd w:val="clear" w:color="auto" w:fill="E7E6E6" w:themeFill="background2"/>
            <w:vAlign w:val="center"/>
          </w:tcPr>
          <w:p>
            <w:pPr>
              <w:rPr>
                <w:b/>
                <w:sz w:val="16"/>
                <w:szCs w:val="16"/>
              </w:rPr>
            </w:pPr>
            <w:r>
              <w:rPr>
                <w:b/>
                <w:sz w:val="16"/>
                <w:szCs w:val="16"/>
              </w:rPr>
              <w:t>Presupuesto Referencial Total (sin iva)</w:t>
            </w:r>
          </w:p>
        </w:tc>
        <w:tc>
          <w:tcPr>
            <w:tcW w:w="842" w:type="dxa"/>
            <w:shd w:val="clear" w:color="auto" w:fill="E7E6E6" w:themeFill="background2"/>
            <w:vAlign w:val="center"/>
          </w:tcPr>
          <w:p>
            <w:pPr>
              <w:rPr>
                <w:b/>
                <w:sz w:val="16"/>
                <w:szCs w:val="16"/>
              </w:rPr>
            </w:pPr>
            <w:r>
              <w:rPr>
                <w:b/>
                <w:sz w:val="16"/>
                <w:szCs w:val="16"/>
              </w:rPr>
              <w:t>Fecha de Publicación</w:t>
            </w:r>
          </w:p>
        </w:tc>
        <w:tc>
          <w:tcPr>
            <w:tcW w:w="667" w:type="dxa"/>
            <w:shd w:val="clear" w:color="auto" w:fill="E7E6E6" w:themeFill="background2"/>
            <w:vAlign w:val="center"/>
          </w:tcPr>
          <w:p>
            <w:pPr>
              <w:rPr>
                <w:b/>
                <w:sz w:val="16"/>
                <w:szCs w:val="16"/>
              </w:rPr>
            </w:pPr>
            <w:r>
              <w:rPr>
                <w:b/>
                <w:sz w:val="16"/>
                <w:szCs w:val="16"/>
              </w:rPr>
              <w:t>Opciones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44" w:type="dxa"/>
          </w:tcPr>
          <w:p>
            <w:pPr>
              <w:rPr>
                <w:sz w:val="16"/>
                <w:szCs w:val="16"/>
              </w:rPr>
            </w:pPr>
            <w:r>
              <w:fldChar w:fldCharType="begin"/>
            </w:r>
            <w:r>
              <w:instrText xml:space="preserve"> HYPERLINK "https://www.compraspublicas.gob.ec/ProcesoContratacion/compras/PC/informacionProcesoContratacion2.cpe?idSoliCompra=EOSZxjN69gcB5o9533OJdrLxWTZO0nX6Eq6pQHf2wDY," </w:instrText>
            </w:r>
            <w:r>
              <w:fldChar w:fldCharType="separate"/>
            </w:r>
            <w:r>
              <w:rPr>
                <w:rStyle w:val="19"/>
                <w:sz w:val="16"/>
                <w:szCs w:val="16"/>
              </w:rPr>
              <w:t xml:space="preserve">RE-UNL-013-2019 </w:t>
            </w:r>
            <w:r>
              <w:rPr>
                <w:rStyle w:val="19"/>
                <w:sz w:val="16"/>
                <w:szCs w:val="16"/>
              </w:rPr>
              <w:fldChar w:fldCharType="end"/>
            </w:r>
          </w:p>
        </w:tc>
        <w:tc>
          <w:tcPr>
            <w:tcW w:w="1022" w:type="dxa"/>
          </w:tcPr>
          <w:p>
            <w:pPr>
              <w:rPr>
                <w:sz w:val="16"/>
                <w:szCs w:val="16"/>
              </w:rPr>
            </w:pPr>
            <w:r>
              <w:rPr>
                <w:sz w:val="16"/>
                <w:szCs w:val="16"/>
              </w:rPr>
              <w:t>UNIVERSIDAD NACIONAL DE LOJA</w:t>
            </w:r>
          </w:p>
        </w:tc>
        <w:tc>
          <w:tcPr>
            <w:tcW w:w="2380" w:type="dxa"/>
          </w:tcPr>
          <w:p>
            <w:pPr>
              <w:rPr>
                <w:sz w:val="16"/>
                <w:szCs w:val="16"/>
              </w:rPr>
            </w:pPr>
            <w:r>
              <w:rPr>
                <w:sz w:val="16"/>
                <w:szCs w:val="16"/>
              </w:rPr>
              <w:t>CONTRATACIÓN DE SERVICIOS COMUNICACIONALES, DE PUBLICACIÓN Y REPRODUCCIÓN DE RENDICIÓN DE CUENTAS, FOLLETOS, AFICHES, DIPTICOS, TRIPTICOS, REGLAMENTOS, POLÍTICAS E INSTRUCTIVOS, REVISTAS INFOMATIVAS, MATERIAL PREIMPRESO, E INFORMES DE CARÁCTER INS...</w:t>
            </w:r>
          </w:p>
        </w:tc>
        <w:tc>
          <w:tcPr>
            <w:tcW w:w="1152" w:type="dxa"/>
          </w:tcPr>
          <w:p>
            <w:pPr>
              <w:rPr>
                <w:sz w:val="16"/>
                <w:szCs w:val="16"/>
              </w:rPr>
            </w:pPr>
            <w:r>
              <w:rPr>
                <w:sz w:val="16"/>
                <w:szCs w:val="16"/>
              </w:rPr>
              <w:t>Terminado Unilateralmente</w:t>
            </w:r>
          </w:p>
        </w:tc>
        <w:tc>
          <w:tcPr>
            <w:tcW w:w="1210" w:type="dxa"/>
          </w:tcPr>
          <w:p>
            <w:pPr>
              <w:rPr>
                <w:sz w:val="16"/>
                <w:szCs w:val="16"/>
              </w:rPr>
            </w:pPr>
            <w:r>
              <w:rPr>
                <w:sz w:val="16"/>
                <w:szCs w:val="16"/>
              </w:rPr>
              <w:t>LOJA / LOJA</w:t>
            </w:r>
          </w:p>
        </w:tc>
        <w:tc>
          <w:tcPr>
            <w:tcW w:w="968" w:type="dxa"/>
          </w:tcPr>
          <w:p>
            <w:pPr>
              <w:rPr>
                <w:sz w:val="16"/>
                <w:szCs w:val="16"/>
              </w:rPr>
            </w:pPr>
            <w:r>
              <w:rPr>
                <w:sz w:val="16"/>
                <w:szCs w:val="16"/>
              </w:rPr>
              <w:t>$15,974.12</w:t>
            </w:r>
          </w:p>
        </w:tc>
        <w:tc>
          <w:tcPr>
            <w:tcW w:w="842" w:type="dxa"/>
          </w:tcPr>
          <w:p>
            <w:pPr>
              <w:rPr>
                <w:sz w:val="16"/>
                <w:szCs w:val="16"/>
              </w:rPr>
            </w:pPr>
            <w:r>
              <w:rPr>
                <w:sz w:val="16"/>
                <w:szCs w:val="16"/>
              </w:rPr>
              <w:t>2019-10-15 16:00:00</w:t>
            </w:r>
          </w:p>
        </w:tc>
        <w:tc>
          <w:tcPr>
            <w:tcW w:w="667" w:type="dxa"/>
            <w:vAlign w:val="center"/>
          </w:tcPr>
          <w:p>
            <w:pPr>
              <w:rPr>
                <w:sz w:val="16"/>
                <w:szCs w:val="16"/>
              </w:rPr>
            </w:pPr>
            <w:r>
              <w:rPr>
                <w:sz w:val="16"/>
                <w:szCs w:val="16"/>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blCellSpacing w:w="15" w:type="dxa"/>
        </w:trPr>
        <w:tc>
          <w:tcPr>
            <w:tcW w:w="544" w:type="dxa"/>
          </w:tcPr>
          <w:p>
            <w:pPr>
              <w:rPr>
                <w:sz w:val="16"/>
                <w:szCs w:val="16"/>
              </w:rPr>
            </w:pPr>
            <w:r>
              <w:fldChar w:fldCharType="begin"/>
            </w:r>
            <w:r>
              <w:instrText xml:space="preserve"> HYPERLINK "https://www.compraspublicas.gob.ec/ProcesoContratacion/compras/PC/informacionProcesoContratacion2.cpe?idSoliCompra=zth3WPgKeak426C6IGZwBBbRXm6dssRwiR4_h1VihBM," </w:instrText>
            </w:r>
            <w:r>
              <w:fldChar w:fldCharType="separate"/>
            </w:r>
            <w:r>
              <w:rPr>
                <w:rStyle w:val="19"/>
                <w:sz w:val="16"/>
                <w:szCs w:val="16"/>
              </w:rPr>
              <w:t xml:space="preserve">RE-UNL-011-2019 </w:t>
            </w:r>
            <w:r>
              <w:rPr>
                <w:rStyle w:val="19"/>
                <w:sz w:val="16"/>
                <w:szCs w:val="16"/>
              </w:rPr>
              <w:fldChar w:fldCharType="end"/>
            </w:r>
          </w:p>
        </w:tc>
        <w:tc>
          <w:tcPr>
            <w:tcW w:w="1022" w:type="dxa"/>
          </w:tcPr>
          <w:p>
            <w:pPr>
              <w:rPr>
                <w:sz w:val="16"/>
                <w:szCs w:val="16"/>
              </w:rPr>
            </w:pPr>
            <w:r>
              <w:rPr>
                <w:sz w:val="16"/>
                <w:szCs w:val="16"/>
              </w:rPr>
              <w:t>UNIVERSIDAD NACIONAL DE LOJA</w:t>
            </w:r>
          </w:p>
        </w:tc>
        <w:tc>
          <w:tcPr>
            <w:tcW w:w="2380" w:type="dxa"/>
          </w:tcPr>
          <w:p>
            <w:pPr>
              <w:rPr>
                <w:sz w:val="16"/>
                <w:szCs w:val="16"/>
              </w:rPr>
            </w:pPr>
            <w:r>
              <w:rPr>
                <w:sz w:val="16"/>
                <w:szCs w:val="16"/>
              </w:rPr>
              <w:t>CONTRATACIÓN DE MATERIAL PUBLICITARIO POP, S Y BTL PARA LA UNIVERSIDAD NACIONAL DE LOJA</w:t>
            </w:r>
          </w:p>
        </w:tc>
        <w:tc>
          <w:tcPr>
            <w:tcW w:w="1152" w:type="dxa"/>
          </w:tcPr>
          <w:p>
            <w:pPr>
              <w:rPr>
                <w:sz w:val="16"/>
                <w:szCs w:val="16"/>
              </w:rPr>
            </w:pPr>
            <w:r>
              <w:rPr>
                <w:sz w:val="16"/>
                <w:szCs w:val="16"/>
              </w:rPr>
              <w:t>Ejecución de Contrato</w:t>
            </w:r>
          </w:p>
        </w:tc>
        <w:tc>
          <w:tcPr>
            <w:tcW w:w="1210" w:type="dxa"/>
          </w:tcPr>
          <w:p>
            <w:pPr>
              <w:rPr>
                <w:sz w:val="16"/>
                <w:szCs w:val="16"/>
              </w:rPr>
            </w:pPr>
            <w:r>
              <w:rPr>
                <w:sz w:val="16"/>
                <w:szCs w:val="16"/>
              </w:rPr>
              <w:t>LOJA / LOJA</w:t>
            </w:r>
          </w:p>
        </w:tc>
        <w:tc>
          <w:tcPr>
            <w:tcW w:w="968" w:type="dxa"/>
          </w:tcPr>
          <w:p>
            <w:pPr>
              <w:rPr>
                <w:sz w:val="16"/>
                <w:szCs w:val="16"/>
              </w:rPr>
            </w:pPr>
            <w:r>
              <w:rPr>
                <w:sz w:val="16"/>
                <w:szCs w:val="16"/>
              </w:rPr>
              <w:t>$4,464.29</w:t>
            </w:r>
          </w:p>
        </w:tc>
        <w:tc>
          <w:tcPr>
            <w:tcW w:w="842" w:type="dxa"/>
          </w:tcPr>
          <w:p>
            <w:pPr>
              <w:rPr>
                <w:sz w:val="16"/>
                <w:szCs w:val="16"/>
              </w:rPr>
            </w:pPr>
            <w:r>
              <w:rPr>
                <w:sz w:val="16"/>
                <w:szCs w:val="16"/>
              </w:rPr>
              <w:t>2019-10-03 16:00:00</w:t>
            </w:r>
          </w:p>
        </w:tc>
        <w:tc>
          <w:tcPr>
            <w:tcW w:w="667" w:type="dxa"/>
            <w:vAlign w:val="center"/>
          </w:tcPr>
          <w:p>
            <w:pPr>
              <w:rPr>
                <w:sz w:val="16"/>
                <w:szCs w:val="16"/>
              </w:rPr>
            </w:pPr>
            <w:r>
              <w:rPr>
                <w:sz w:val="16"/>
                <w:szCs w:val="16"/>
              </w:rPr>
              <w:t> </w:t>
            </w:r>
          </w:p>
        </w:tc>
      </w:tr>
    </w:tbl>
    <w:p/>
    <w:p>
      <w:pPr>
        <w:rPr>
          <w:b/>
          <w:sz w:val="16"/>
          <w:szCs w:val="16"/>
        </w:rPr>
      </w:pPr>
      <w:r>
        <w:fldChar w:fldCharType="begin"/>
      </w:r>
      <w:r>
        <w:instrText xml:space="preserve"> HYPERLINK "https://www.compraspublicas.gob.ec/ProcesoContratacion/compras/PC/informacionProcesoContratacion2.cpe?idSoliCompra=EOSZxjN69gcB5o9533OJdrLxWTZO0nX6Eq6pQHf2wDY," </w:instrText>
      </w:r>
      <w:r>
        <w:fldChar w:fldCharType="separate"/>
      </w:r>
      <w:r>
        <w:rPr>
          <w:rStyle w:val="19"/>
          <w:b/>
          <w:sz w:val="16"/>
          <w:szCs w:val="16"/>
        </w:rPr>
        <w:t xml:space="preserve">RE-UNL-013-2019 </w:t>
      </w:r>
      <w:r>
        <w:rPr>
          <w:rStyle w:val="19"/>
          <w:b/>
          <w:sz w:val="16"/>
          <w:szCs w:val="16"/>
        </w:rPr>
        <w:fldChar w:fldCharType="end"/>
      </w:r>
    </w:p>
    <w:p>
      <w:pPr>
        <w:rPr>
          <w:vanish/>
        </w:rPr>
      </w:pP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640" cy="276796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27"/>
                    <a:srcRect/>
                    <a:stretch>
                      <a:fillRect/>
                    </a:stretch>
                  </pic:blipFill>
                  <pic:spPr>
                    <a:xfrm>
                      <a:off x="0" y="0"/>
                      <a:ext cx="5756275" cy="2768592"/>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r>
        <w:drawing>
          <wp:inline distT="0" distB="0" distL="0" distR="0">
            <wp:extent cx="5755005" cy="14312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pic:cNvPicPr>
                  </pic:nvPicPr>
                  <pic:blipFill>
                    <a:blip r:embed="rId28"/>
                    <a:srcRect/>
                    <a:stretch>
                      <a:fillRect/>
                    </a:stretch>
                  </pic:blipFill>
                  <pic:spPr>
                    <a:xfrm>
                      <a:off x="0" y="0"/>
                      <a:ext cx="5756275" cy="1432107"/>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2118995" cy="305625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pic:cNvPicPr>
                  </pic:nvPicPr>
                  <pic:blipFill>
                    <a:blip r:embed="rId29"/>
                    <a:srcRect/>
                    <a:stretch>
                      <a:fillRect/>
                    </a:stretch>
                  </pic:blipFill>
                  <pic:spPr>
                    <a:xfrm>
                      <a:off x="0" y="0"/>
                      <a:ext cx="2119937" cy="3056960"/>
                    </a:xfrm>
                    <a:prstGeom prst="rect">
                      <a:avLst/>
                    </a:prstGeom>
                    <a:ln>
                      <a:noFill/>
                    </a:ln>
                  </pic:spPr>
                </pic:pic>
              </a:graphicData>
            </a:graphic>
          </wp:inline>
        </w:drawing>
      </w:r>
    </w:p>
    <w:p>
      <w:pPr>
        <w:jc w:val="center"/>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3068955" cy="30105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30"/>
                    <a:srcRect/>
                    <a:stretch>
                      <a:fillRect/>
                    </a:stretch>
                  </pic:blipFill>
                  <pic:spPr>
                    <a:xfrm>
                      <a:off x="0" y="0"/>
                      <a:ext cx="3069682" cy="3011723"/>
                    </a:xfrm>
                    <a:prstGeom prst="rect">
                      <a:avLst/>
                    </a:prstGeom>
                    <a:ln>
                      <a:noFill/>
                    </a:ln>
                  </pic:spPr>
                </pic:pic>
              </a:graphicData>
            </a:graphic>
          </wp:inline>
        </w:drawing>
      </w:r>
    </w:p>
    <w:p>
      <w:pPr>
        <w:jc w:val="both"/>
        <w:rPr>
          <w:b/>
          <w:sz w:val="16"/>
          <w:szCs w:val="16"/>
        </w:rPr>
      </w:pPr>
      <w:r>
        <w:fldChar w:fldCharType="begin"/>
      </w:r>
      <w:r>
        <w:instrText xml:space="preserve"> HYPERLINK "https://www.compraspublicas.gob.ec/ProcesoContratacion/compras/PC/informacionProcesoContratacion2.cpe?idSoliCompra=zth3WPgKeak426C6IGZwBBbRXm6dssRwiR4_h1VihBM," </w:instrText>
      </w:r>
      <w:r>
        <w:fldChar w:fldCharType="separate"/>
      </w:r>
      <w:r>
        <w:rPr>
          <w:rStyle w:val="19"/>
          <w:b/>
          <w:sz w:val="16"/>
          <w:szCs w:val="16"/>
        </w:rPr>
        <w:t xml:space="preserve">RE-UNL-011-2019 </w:t>
      </w:r>
      <w:r>
        <w:rPr>
          <w:rStyle w:val="19"/>
          <w:b/>
          <w:sz w:val="16"/>
          <w:szCs w:val="16"/>
        </w:rPr>
        <w:fldChar w:fldCharType="end"/>
      </w:r>
      <w:r>
        <w:drawing>
          <wp:inline distT="0" distB="0" distL="0" distR="0">
            <wp:extent cx="5755005" cy="279336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31"/>
                    <a:srcRect/>
                    <a:stretch>
                      <a:fillRect/>
                    </a:stretch>
                  </pic:blipFill>
                  <pic:spPr>
                    <a:xfrm>
                      <a:off x="0" y="0"/>
                      <a:ext cx="5756275" cy="2793943"/>
                    </a:xfrm>
                    <a:prstGeom prst="rect">
                      <a:avLst/>
                    </a:prstGeom>
                    <a:ln>
                      <a:noFill/>
                    </a:ln>
                  </pic:spPr>
                </pic:pic>
              </a:graphicData>
            </a:graphic>
          </wp:inline>
        </w:drawing>
      </w:r>
    </w:p>
    <w:p>
      <w:pPr>
        <w:jc w:val="both"/>
        <w:rPr>
          <w:b/>
          <w:sz w:val="16"/>
          <w:szCs w:val="16"/>
        </w:rPr>
      </w:pPr>
    </w:p>
    <w:p>
      <w:pPr>
        <w:jc w:val="both"/>
        <w:rPr>
          <w:b/>
          <w:sz w:val="16"/>
          <w:szCs w:val="16"/>
        </w:rPr>
      </w:pPr>
    </w:p>
    <w:p>
      <w:pPr>
        <w:jc w:val="both"/>
        <w:rPr>
          <w:b/>
          <w:sz w:val="16"/>
          <w:szCs w:val="16"/>
        </w:rPr>
      </w:pPr>
      <w:r>
        <w:drawing>
          <wp:inline distT="0" distB="0" distL="0" distR="0">
            <wp:extent cx="5755005" cy="14668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pic:cNvPicPr>
                  </pic:nvPicPr>
                  <pic:blipFill>
                    <a:blip r:embed="rId32"/>
                    <a:srcRect/>
                    <a:stretch>
                      <a:fillRect/>
                    </a:stretch>
                  </pic:blipFill>
                  <pic:spPr>
                    <a:xfrm>
                      <a:off x="0" y="0"/>
                      <a:ext cx="5756275" cy="1467266"/>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2189480" cy="2842895"/>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pic:cNvPicPr>
                  </pic:nvPicPr>
                  <pic:blipFill>
                    <a:blip r:embed="rId33"/>
                    <a:srcRect/>
                    <a:stretch>
                      <a:fillRect/>
                    </a:stretch>
                  </pic:blipFill>
                  <pic:spPr>
                    <a:xfrm>
                      <a:off x="0" y="0"/>
                      <a:ext cx="2190385" cy="2844200"/>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center"/>
        <w:rPr>
          <w:rFonts w:ascii="Times New Roman" w:hAnsi="Times New Roman" w:eastAsia="Times New Roman" w:cs="Times New Roman"/>
          <w:sz w:val="20"/>
          <w:szCs w:val="20"/>
        </w:rPr>
      </w:pPr>
      <w:r>
        <w:drawing>
          <wp:inline distT="0" distB="0" distL="0" distR="0">
            <wp:extent cx="4243705" cy="233108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34"/>
                    <a:srcRect/>
                    <a:stretch>
                      <a:fillRect/>
                    </a:stretch>
                  </pic:blipFill>
                  <pic:spPr>
                    <a:xfrm>
                      <a:off x="0" y="0"/>
                      <a:ext cx="4245634" cy="2331932"/>
                    </a:xfrm>
                    <a:prstGeom prst="rect">
                      <a:avLst/>
                    </a:prstGeom>
                    <a:ln>
                      <a:noFill/>
                    </a:ln>
                  </pic:spPr>
                </pic:pic>
              </a:graphicData>
            </a:graphic>
          </wp:inline>
        </w:drawing>
      </w: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jc w:val="both"/>
        <w:rPr>
          <w:rFonts w:ascii="Times New Roman" w:hAnsi="Times New Roman" w:eastAsia="Times New Roman" w:cs="Times New Roman"/>
          <w:sz w:val="20"/>
          <w:szCs w:val="20"/>
        </w:rPr>
      </w:pPr>
    </w:p>
    <w:p>
      <w:pPr>
        <w:pBdr>
          <w:top w:val="single" w:color="auto" w:sz="4" w:space="1"/>
          <w:left w:val="single" w:color="auto" w:sz="4" w:space="0"/>
          <w:bottom w:val="single" w:color="auto" w:sz="4" w:space="1"/>
          <w:right w:val="single" w:color="auto" w:sz="4" w:space="4"/>
        </w:pBdr>
        <w:shd w:val="clear" w:color="auto" w:fill="7F7F7F" w:themeFill="background1" w:themeFillShade="80"/>
        <w:tabs>
          <w:tab w:val="left" w:pos="2300"/>
        </w:tabs>
        <w:spacing w:line="276" w:lineRule="auto"/>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b/>
          <w:bCs/>
          <w:color w:val="FFFFFF"/>
          <w:sz w:val="20"/>
          <w:szCs w:val="20"/>
          <w:lang w:val="es-ES" w:eastAsia="es-ES"/>
        </w:rPr>
        <w:t>3. Tomar en cuenta la variación de precios locales e/o importados, según corresponda.</w:t>
      </w:r>
    </w:p>
    <w:p>
      <w:pPr>
        <w:rPr>
          <w:rFonts w:ascii="Arial" w:hAnsi="Arial" w:eastAsia="Times New Roman" w:cs="Arial"/>
          <w:b/>
          <w:bCs/>
          <w:color w:val="000000"/>
          <w:sz w:val="16"/>
          <w:szCs w:val="16"/>
          <w:lang w:val="es-EC" w:eastAsia="es-EC"/>
        </w:rPr>
      </w:pPr>
    </w:p>
    <w:p>
      <w:p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De ser necesario traer los montos a valores presentes, considerando la inflación (nacional e/o internacional); es decir, realizar el análisis a precios actuales.</w:t>
      </w:r>
    </w:p>
    <w:p>
      <w:pPr>
        <w:rPr>
          <w:rFonts w:ascii="Arial" w:hAnsi="Arial" w:eastAsia="Times New Roman" w:cs="Arial"/>
          <w:bCs/>
          <w:color w:val="000000"/>
          <w:sz w:val="16"/>
          <w:szCs w:val="16"/>
          <w:lang w:val="es-EC" w:eastAsia="es-EC"/>
        </w:rPr>
      </w:pPr>
    </w:p>
    <w:p>
      <w:pPr>
        <w:jc w:val="both"/>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 xml:space="preserve">Si los precios de adjudicaciones anteriores corresponden a distintos meses, estos deberán actualizarse a la fecha de la contratación (requerimiento) en base a la inflación mensual, anual o acumulada. </w:t>
      </w:r>
    </w:p>
    <w:p>
      <w:pPr>
        <w:jc w:val="both"/>
        <w:rPr>
          <w:rFonts w:ascii="Arial" w:hAnsi="Arial" w:eastAsia="Times New Roman" w:cs="Arial"/>
          <w:bCs/>
          <w:color w:val="000000"/>
          <w:sz w:val="16"/>
          <w:szCs w:val="16"/>
          <w:lang w:val="es-EC" w:eastAsia="es-EC"/>
        </w:rPr>
      </w:pPr>
    </w:p>
    <w:p>
      <w:pPr>
        <w:jc w:val="both"/>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 xml:space="preserve">Para ello la única información oficial será la que sea publicada mensualmente por Instituto Nacional de Estadísticas y Censos (INEC). </w:t>
      </w:r>
    </w:p>
    <w:p>
      <w:pPr>
        <w:jc w:val="both"/>
        <w:rPr>
          <w:rFonts w:ascii="Arial" w:hAnsi="Arial" w:eastAsia="Times New Roman" w:cs="Arial"/>
          <w:bCs/>
          <w:color w:val="000000"/>
          <w:sz w:val="16"/>
          <w:szCs w:val="16"/>
          <w:lang w:val="es-EC" w:eastAsia="es-EC"/>
        </w:rPr>
      </w:pPr>
    </w:p>
    <w:p>
      <w:pPr>
        <w:jc w:val="both"/>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El área requirente deberá actualizar el precio a partir del año/mes/ de adjudicación.</w:t>
      </w:r>
    </w:p>
    <w:p>
      <w:pPr>
        <w:rPr>
          <w:rFonts w:ascii="Arial" w:hAnsi="Arial" w:eastAsia="Times New Roman" w:cs="Arial"/>
          <w:bCs/>
          <w:color w:val="000000"/>
          <w:sz w:val="16"/>
          <w:szCs w:val="16"/>
          <w:lang w:val="es-EC" w:eastAsia="es-EC"/>
        </w:rPr>
      </w:pPr>
    </w:p>
    <w:p>
      <w:pPr>
        <w:rPr>
          <w:rFonts w:ascii="Arial" w:hAnsi="Arial" w:eastAsia="Times New Roman" w:cs="Arial"/>
          <w:bCs/>
          <w:color w:val="000000"/>
          <w:sz w:val="16"/>
          <w:szCs w:val="16"/>
          <w:lang w:val="es-EC" w:eastAsia="es-EC"/>
        </w:rPr>
      </w:pPr>
      <w:r>
        <w:rPr>
          <w:rFonts w:ascii="Arial" w:hAnsi="Arial" w:eastAsia="Times New Roman" w:cs="Arial"/>
          <w:bCs/>
          <w:color w:val="000000"/>
          <w:sz w:val="16"/>
          <w:szCs w:val="16"/>
          <w:lang w:val="es-EC" w:eastAsia="es-EC"/>
        </w:rPr>
        <w:t>A continuación, se puede observar el análisis de precios a valores presentes considerando la inflación nacional, indicadores tomados de los boletines mensuales de índice de precios al consumidor a febrero de 2020, emitidos por el Instituto Nacional de Estadísticas y Censos INEC.</w:t>
      </w:r>
    </w:p>
    <w:p>
      <w:pPr>
        <w:widowControl w:val="0"/>
        <w:spacing w:line="276" w:lineRule="auto"/>
        <w:jc w:val="both"/>
        <w:rPr>
          <w:rFonts w:ascii="Times New Roman" w:hAnsi="Times New Roman" w:eastAsia="Times New Roman" w:cs="Times New Roman"/>
          <w:b/>
          <w:sz w:val="20"/>
          <w:szCs w:val="20"/>
          <w:lang w:val="es-ES" w:eastAsia="es-ES"/>
        </w:rPr>
      </w:pPr>
    </w:p>
    <w:tbl>
      <w:tblPr>
        <w:tblStyle w:val="7"/>
        <w:tblW w:w="8950" w:type="dxa"/>
        <w:tblInd w:w="-5" w:type="dxa"/>
        <w:tblLayout w:type="fixed"/>
        <w:tblCellMar>
          <w:top w:w="0" w:type="dxa"/>
          <w:left w:w="70" w:type="dxa"/>
          <w:bottom w:w="0" w:type="dxa"/>
          <w:right w:w="70" w:type="dxa"/>
        </w:tblCellMar>
      </w:tblPr>
      <w:tblGrid>
        <w:gridCol w:w="1065"/>
        <w:gridCol w:w="1065"/>
        <w:gridCol w:w="1495"/>
        <w:gridCol w:w="1065"/>
        <w:gridCol w:w="1065"/>
        <w:gridCol w:w="1065"/>
        <w:gridCol w:w="1065"/>
        <w:gridCol w:w="1065"/>
      </w:tblGrid>
      <w:tr>
        <w:tblPrEx>
          <w:tblLayout w:type="fixed"/>
          <w:tblCellMar>
            <w:top w:w="0" w:type="dxa"/>
            <w:left w:w="70" w:type="dxa"/>
            <w:bottom w:w="0" w:type="dxa"/>
            <w:right w:w="70" w:type="dxa"/>
          </w:tblCellMar>
        </w:tblPrEx>
        <w:trPr>
          <w:trHeight w:val="841" w:hRule="atLeast"/>
        </w:trPr>
        <w:tc>
          <w:tcPr>
            <w:tcW w:w="1065" w:type="dxa"/>
            <w:tcBorders>
              <w:top w:val="single" w:color="auto" w:sz="4" w:space="0"/>
              <w:left w:val="single" w:color="auto" w:sz="4" w:space="0"/>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Año</w:t>
            </w:r>
          </w:p>
        </w:tc>
        <w:tc>
          <w:tcPr>
            <w:tcW w:w="1065" w:type="dxa"/>
            <w:tcBorders>
              <w:top w:val="single" w:color="auto" w:sz="4" w:space="0"/>
              <w:left w:val="nil"/>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Mes</w:t>
            </w:r>
          </w:p>
        </w:tc>
        <w:tc>
          <w:tcPr>
            <w:tcW w:w="1495" w:type="dxa"/>
            <w:tcBorders>
              <w:top w:val="single" w:color="auto" w:sz="4" w:space="0"/>
              <w:left w:val="nil"/>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Año/Mes</w:t>
            </w:r>
          </w:p>
        </w:tc>
        <w:tc>
          <w:tcPr>
            <w:tcW w:w="1065" w:type="dxa"/>
            <w:tcBorders>
              <w:top w:val="single" w:color="auto" w:sz="4" w:space="0"/>
              <w:left w:val="nil"/>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Índice</w:t>
            </w:r>
          </w:p>
        </w:tc>
        <w:tc>
          <w:tcPr>
            <w:tcW w:w="1065" w:type="dxa"/>
            <w:tcBorders>
              <w:top w:val="single" w:color="auto" w:sz="4" w:space="0"/>
              <w:left w:val="nil"/>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Inflación Mensual</w:t>
            </w:r>
          </w:p>
        </w:tc>
        <w:tc>
          <w:tcPr>
            <w:tcW w:w="1065" w:type="dxa"/>
            <w:tcBorders>
              <w:top w:val="single" w:color="auto" w:sz="4" w:space="0"/>
              <w:left w:val="nil"/>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Inflación Anual</w:t>
            </w:r>
          </w:p>
        </w:tc>
        <w:tc>
          <w:tcPr>
            <w:tcW w:w="1065" w:type="dxa"/>
            <w:tcBorders>
              <w:top w:val="single" w:color="auto" w:sz="4" w:space="0"/>
              <w:left w:val="nil"/>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Inflación Acumulada</w:t>
            </w:r>
          </w:p>
        </w:tc>
        <w:tc>
          <w:tcPr>
            <w:tcW w:w="1065" w:type="dxa"/>
            <w:tcBorders>
              <w:top w:val="single" w:color="auto" w:sz="4" w:space="0"/>
              <w:left w:val="nil"/>
              <w:bottom w:val="single" w:color="auto" w:sz="4" w:space="0"/>
              <w:right w:val="single" w:color="auto" w:sz="4" w:space="0"/>
            </w:tcBorders>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Inflación Acumulada para cálculo</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Enero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2018Enero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105,20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0,19%</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0,29%</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Febrero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2018Febrero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105,37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0,34%</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Marzo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2018Marzo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0,06%</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0,41%</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-0,05%</w:t>
            </w:r>
          </w:p>
        </w:tc>
      </w:tr>
      <w:tr>
        <w:tblPrEx>
          <w:tblLayout w:type="fixed"/>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Abril</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2018Abril</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105,29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-0,78%</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0,27%</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-0,11%</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Mayo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2018Mayo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105,09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-0,18%</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0,09%</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0,03%</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Junio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2018Junio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104,81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-0,71%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-0,19%</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0,21%</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Julio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2018Julio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104,80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-0,004%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-0,57%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-0,19%</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0,48%</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Agosto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2018Agosto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105,08</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-0,32%</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0,08%</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0,49%</w:t>
            </w:r>
          </w:p>
        </w:tc>
      </w:tr>
      <w:tr>
        <w:tblPrEx>
          <w:tblLayout w:type="fixed"/>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Septiembre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2018Septiembre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105,50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0,47%</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0,22%</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Octubre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2018Octubre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0,42%</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-0,17%</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Noviembre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2018Noviembre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105,18</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0,17%</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-0,12%</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Diciembre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2018Diciembre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105,28</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0,27%</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0,13%</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Enero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2019Enero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105,77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0,47%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0,54%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0,47%</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0,03%</w:t>
            </w:r>
          </w:p>
        </w:tc>
      </w:tr>
      <w:tr>
        <w:tblPrEx>
          <w:tblLayout w:type="fixed"/>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Febrero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2019Febrero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105,53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0,16%</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0,24%</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-0,44%</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Marzo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2019Marzo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105,31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0,02%</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-0,21%</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Abril</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2019Abril</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0,19%</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Mayo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2019Mayo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105,48</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-0,004%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0,19%</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-0,17%</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Junio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2019Junio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0,61%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0,15%</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-0,17%</w:t>
            </w:r>
          </w:p>
        </w:tc>
      </w:tr>
      <w:tr>
        <w:tblPrEx>
          <w:tblLayout w:type="fixed"/>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Julio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2019Julio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105,54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0,71%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0,25%</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-0,13%</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Agosto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2019Agosto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0,14%</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-0,22%</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Septiembre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2019Septiembre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105,42</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0,13%</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-0,12%</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Octubre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2019Octubre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105,97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0,52%</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0,50%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0,65%</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-0,11%</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Noviembre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2019Noviembre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105,22</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-0,70%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0,04%</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-0,06%</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-0,63%</w:t>
            </w:r>
          </w:p>
        </w:tc>
      </w:tr>
      <w:tr>
        <w:tblPrEx>
          <w:tblLayout w:type="fixed"/>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Diciembre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2019Diciembre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105,21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-0,01%</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-0,07%</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-0,07%</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0,07%</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Enero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2020Enero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105,45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-0,30%</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0,23%</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0,08%</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Febrero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2020Febrero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105,29</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-0,15%</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-0,23%</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0,07%</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-0,15%</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Marzo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2020Marzo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Abril</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2020Abril</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Mayo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2020Mayo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Junio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2020Junio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Julio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2020Julio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Agosto</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2020Agosto</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Septiembre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2020Septiembre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Octubre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2020Octubre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Noviembre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2020Noviembre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r>
        <w:tblPrEx>
          <w:tblLayout w:type="fixed"/>
          <w:tblCellMar>
            <w:top w:w="0" w:type="dxa"/>
            <w:left w:w="70" w:type="dxa"/>
            <w:bottom w:w="0" w:type="dxa"/>
            <w:right w:w="70" w:type="dxa"/>
          </w:tblCellMar>
        </w:tblPrEx>
        <w:trPr>
          <w:trHeight w:val="280" w:hRule="atLeast"/>
        </w:trPr>
        <w:tc>
          <w:tcPr>
            <w:tcW w:w="1065" w:type="dxa"/>
            <w:tcBorders>
              <w:top w:val="nil"/>
              <w:left w:val="single" w:color="auto" w:sz="4" w:space="0"/>
              <w:bottom w:val="single" w:color="auto" w:sz="4" w:space="0"/>
              <w:right w:val="single" w:color="auto" w:sz="4" w:space="0"/>
            </w:tcBorders>
            <w:shd w:val="clear" w:color="000000" w:fill="D9D9D9"/>
            <w:noWrap/>
            <w:vAlign w:val="center"/>
          </w:tcPr>
          <w:p>
            <w:pPr>
              <w:jc w:val="right"/>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w:t>
            </w:r>
          </w:p>
        </w:tc>
        <w:tc>
          <w:tcPr>
            <w:tcW w:w="1065" w:type="dxa"/>
            <w:tcBorders>
              <w:top w:val="nil"/>
              <w:left w:val="nil"/>
              <w:bottom w:val="single" w:color="auto" w:sz="4" w:space="0"/>
              <w:right w:val="single" w:color="auto" w:sz="4" w:space="0"/>
            </w:tcBorders>
            <w:shd w:val="clear" w:color="000000" w:fill="D9D9D9"/>
            <w:noWrap/>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Diciembre</w:t>
            </w:r>
          </w:p>
        </w:tc>
        <w:tc>
          <w:tcPr>
            <w:tcW w:w="1495" w:type="dxa"/>
            <w:tcBorders>
              <w:top w:val="nil"/>
              <w:left w:val="nil"/>
              <w:bottom w:val="single" w:color="auto" w:sz="4" w:space="0"/>
              <w:right w:val="single" w:color="auto" w:sz="4" w:space="0"/>
            </w:tcBorders>
            <w:shd w:val="clear" w:color="000000" w:fill="D9D9D9"/>
            <w:vAlign w:val="center"/>
          </w:tcPr>
          <w:p>
            <w:pP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2020Diciembre</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6"/>
                <w:szCs w:val="16"/>
                <w:lang w:val="es-EC" w:eastAsia="es-EC"/>
              </w:rPr>
            </w:pPr>
            <w:r>
              <w:rPr>
                <w:rFonts w:ascii="Calibri" w:hAnsi="Calibri" w:eastAsia="Times New Roman" w:cs="Calibri"/>
                <w:color w:val="000000"/>
                <w:sz w:val="16"/>
                <w:szCs w:val="16"/>
                <w:lang w:val="es-EC" w:eastAsia="es-EC"/>
              </w:rPr>
              <w:t> </w:t>
            </w:r>
          </w:p>
        </w:tc>
        <w:tc>
          <w:tcPr>
            <w:tcW w:w="1065" w:type="dxa"/>
            <w:tcBorders>
              <w:top w:val="nil"/>
              <w:left w:val="nil"/>
              <w:bottom w:val="single" w:color="auto" w:sz="4" w:space="0"/>
              <w:right w:val="single" w:color="auto" w:sz="4" w:space="0"/>
            </w:tcBorders>
            <w:shd w:val="clear" w:color="000000" w:fill="1F4E78"/>
            <w:vAlign w:val="center"/>
          </w:tcPr>
          <w:p>
            <w:pPr>
              <w:jc w:val="center"/>
              <w:rPr>
                <w:rFonts w:ascii="Calibri" w:hAnsi="Calibri" w:eastAsia="Times New Roman" w:cs="Calibri"/>
                <w:color w:val="FFFFFF"/>
                <w:sz w:val="16"/>
                <w:szCs w:val="16"/>
                <w:lang w:val="es-EC" w:eastAsia="es-EC"/>
              </w:rPr>
            </w:pPr>
            <w:r>
              <w:rPr>
                <w:rFonts w:ascii="Calibri" w:hAnsi="Calibri" w:eastAsia="Times New Roman" w:cs="Calibri"/>
                <w:color w:val="FFFFFF"/>
                <w:sz w:val="16"/>
                <w:szCs w:val="16"/>
                <w:lang w:val="es-EC" w:eastAsia="es-EC"/>
              </w:rPr>
              <w:t>0,00%</w:t>
            </w:r>
          </w:p>
        </w:tc>
      </w:tr>
    </w:tbl>
    <w:p>
      <w:pPr>
        <w:widowControl w:val="0"/>
        <w:spacing w:line="276" w:lineRule="auto"/>
        <w:jc w:val="both"/>
        <w:rPr>
          <w:rFonts w:ascii="Times New Roman" w:hAnsi="Times New Roman" w:eastAsia="Times New Roman" w:cs="Times New Roman"/>
          <w:b/>
          <w:sz w:val="20"/>
          <w:szCs w:val="20"/>
          <w:lang w:val="es-ES" w:eastAsia="es-ES"/>
        </w:rPr>
      </w:pPr>
    </w:p>
    <w:tbl>
      <w:tblPr>
        <w:tblStyle w:val="7"/>
        <w:tblpPr w:leftFromText="141" w:rightFromText="141" w:vertAnchor="text" w:tblpY="304"/>
        <w:tblW w:w="8844" w:type="dxa"/>
        <w:tblInd w:w="0" w:type="dxa"/>
        <w:tblLayout w:type="fixed"/>
        <w:tblCellMar>
          <w:top w:w="0" w:type="dxa"/>
          <w:left w:w="70" w:type="dxa"/>
          <w:bottom w:w="0" w:type="dxa"/>
          <w:right w:w="70" w:type="dxa"/>
        </w:tblCellMar>
      </w:tblPr>
      <w:tblGrid>
        <w:gridCol w:w="541"/>
        <w:gridCol w:w="1439"/>
        <w:gridCol w:w="1978"/>
        <w:gridCol w:w="1056"/>
        <w:gridCol w:w="1181"/>
        <w:gridCol w:w="928"/>
        <w:gridCol w:w="665"/>
        <w:gridCol w:w="1056"/>
      </w:tblGrid>
      <w:tr>
        <w:tblPrEx>
          <w:tblLayout w:type="fixed"/>
          <w:tblCellMar>
            <w:top w:w="0" w:type="dxa"/>
            <w:left w:w="70" w:type="dxa"/>
            <w:bottom w:w="0" w:type="dxa"/>
            <w:right w:w="70" w:type="dxa"/>
          </w:tblCellMar>
        </w:tblPrEx>
        <w:trPr>
          <w:trHeight w:val="437" w:hRule="atLeast"/>
        </w:trPr>
        <w:tc>
          <w:tcPr>
            <w:tcW w:w="541"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Nro.</w:t>
            </w:r>
          </w:p>
        </w:tc>
        <w:tc>
          <w:tcPr>
            <w:tcW w:w="1439"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 xml:space="preserve">Descripción </w:t>
            </w:r>
            <w:r>
              <w:rPr>
                <w:rFonts w:ascii="Times" w:hAnsi="Times" w:eastAsia="Times New Roman" w:cs="Times"/>
                <w:b/>
                <w:bCs/>
                <w:color w:val="000000"/>
                <w:sz w:val="16"/>
                <w:szCs w:val="16"/>
                <w:lang w:val="es-EC" w:eastAsia="es-EC"/>
              </w:rPr>
              <w:br w:type="textWrapping"/>
            </w:r>
            <w:r>
              <w:rPr>
                <w:rFonts w:ascii="Times" w:hAnsi="Times" w:eastAsia="Times New Roman" w:cs="Times"/>
                <w:b/>
                <w:bCs/>
                <w:color w:val="000000"/>
                <w:sz w:val="16"/>
                <w:szCs w:val="16"/>
                <w:lang w:val="es-EC" w:eastAsia="es-EC"/>
              </w:rPr>
              <w:t>del bien o servicio</w:t>
            </w:r>
          </w:p>
        </w:tc>
        <w:tc>
          <w:tcPr>
            <w:tcW w:w="1978"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Características o especificaciones técnicas, requisitos funcionales o tecnológicos</w:t>
            </w:r>
          </w:p>
        </w:tc>
        <w:tc>
          <w:tcPr>
            <w:tcW w:w="1056"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Atributos</w:t>
            </w:r>
          </w:p>
        </w:tc>
        <w:tc>
          <w:tcPr>
            <w:tcW w:w="1181"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Condiciones de uso</w:t>
            </w:r>
          </w:p>
        </w:tc>
        <w:tc>
          <w:tcPr>
            <w:tcW w:w="1593" w:type="dxa"/>
            <w:gridSpan w:val="2"/>
            <w:tcBorders>
              <w:top w:val="single" w:color="auto" w:sz="8" w:space="0"/>
              <w:left w:val="nil"/>
              <w:bottom w:val="single" w:color="auto" w:sz="8" w:space="0"/>
              <w:right w:val="single" w:color="000000"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Cantidad</w:t>
            </w:r>
          </w:p>
        </w:tc>
        <w:tc>
          <w:tcPr>
            <w:tcW w:w="1056" w:type="dxa"/>
            <w:vMerge w:val="restart"/>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jc w:val="center"/>
              <w:rPr>
                <w:rFonts w:ascii="Times" w:hAnsi="Times" w:eastAsia="Times New Roman" w:cs="Times"/>
                <w:b/>
                <w:bCs/>
                <w:color w:val="000000"/>
                <w:sz w:val="16"/>
                <w:szCs w:val="16"/>
                <w:lang w:val="es-EC" w:eastAsia="es-EC"/>
              </w:rPr>
            </w:pPr>
            <w:r>
              <w:rPr>
                <w:rFonts w:ascii="Times" w:hAnsi="Times" w:eastAsia="Times New Roman" w:cs="Times"/>
                <w:b/>
                <w:bCs/>
                <w:color w:val="000000"/>
                <w:sz w:val="16"/>
                <w:szCs w:val="16"/>
                <w:lang w:val="es-EC" w:eastAsia="es-EC"/>
              </w:rPr>
              <w:t>Unidad de Medida</w:t>
            </w:r>
          </w:p>
        </w:tc>
      </w:tr>
      <w:tr>
        <w:tblPrEx>
          <w:tblLayout w:type="fixed"/>
          <w:tblCellMar>
            <w:top w:w="0" w:type="dxa"/>
            <w:left w:w="70" w:type="dxa"/>
            <w:bottom w:w="0" w:type="dxa"/>
            <w:right w:w="70" w:type="dxa"/>
          </w:tblCellMar>
        </w:tblPrEx>
        <w:trPr>
          <w:trHeight w:val="437" w:hRule="atLeast"/>
        </w:trPr>
        <w:tc>
          <w:tcPr>
            <w:tcW w:w="541"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439"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978"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056"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c>
          <w:tcPr>
            <w:tcW w:w="1181" w:type="dxa"/>
            <w:vMerge w:val="continue"/>
            <w:tcBorders>
              <w:top w:val="single" w:color="auto" w:sz="8" w:space="0"/>
              <w:left w:val="single" w:color="auto" w:sz="8" w:space="0"/>
              <w:bottom w:val="single" w:color="000000" w:sz="8" w:space="0"/>
              <w:right w:val="single" w:color="auto" w:sz="8" w:space="0"/>
            </w:tcBorders>
            <w:shd w:val="clear" w:color="auto" w:fill="E7E6E6" w:themeFill="background2"/>
            <w:vAlign w:val="center"/>
          </w:tcPr>
          <w:p>
            <w:pPr>
              <w:rPr>
                <w:rFonts w:ascii="Times" w:hAnsi="Times" w:eastAsia="Times New Roman" w:cs="Times"/>
                <w:b/>
                <w:bCs/>
                <w:color w:val="000000"/>
                <w:sz w:val="16"/>
                <w:szCs w:val="16"/>
                <w:lang w:val="es-EC" w:eastAsia="es-EC"/>
              </w:rPr>
            </w:pPr>
          </w:p>
        </w:tc>
        <w:tc>
          <w:tcPr>
            <w:tcW w:w="928" w:type="dxa"/>
            <w:tcBorders>
              <w:top w:val="nil"/>
              <w:left w:val="nil"/>
              <w:bottom w:val="single" w:color="auto" w:sz="8" w:space="0"/>
              <w:right w:val="single" w:color="auto" w:sz="8" w:space="0"/>
            </w:tcBorders>
            <w:shd w:val="clear" w:color="auto" w:fill="E7E6E6" w:themeFill="background2"/>
            <w:vAlign w:val="center"/>
          </w:tcPr>
          <w:p>
            <w:pPr>
              <w:jc w:val="center"/>
              <w:rPr>
                <w:rFonts w:ascii="Times" w:hAnsi="Times" w:eastAsia="Times New Roman" w:cs="Times"/>
                <w:b/>
                <w:color w:val="000000"/>
                <w:sz w:val="16"/>
                <w:szCs w:val="16"/>
                <w:lang w:val="es-EC" w:eastAsia="es-EC"/>
              </w:rPr>
            </w:pPr>
            <w:r>
              <w:rPr>
                <w:rFonts w:ascii="Times" w:hAnsi="Times" w:eastAsia="Times New Roman" w:cs="Times"/>
                <w:b/>
                <w:color w:val="000000"/>
                <w:sz w:val="16"/>
                <w:szCs w:val="16"/>
                <w:lang w:val="es-EC" w:eastAsia="es-EC"/>
              </w:rPr>
              <w:t xml:space="preserve">Numero </w:t>
            </w:r>
          </w:p>
        </w:tc>
        <w:tc>
          <w:tcPr>
            <w:tcW w:w="665" w:type="dxa"/>
            <w:tcBorders>
              <w:top w:val="nil"/>
              <w:left w:val="nil"/>
              <w:bottom w:val="single" w:color="auto" w:sz="8" w:space="0"/>
              <w:right w:val="single" w:color="auto" w:sz="8" w:space="0"/>
            </w:tcBorders>
            <w:shd w:val="clear" w:color="auto" w:fill="E7E6E6" w:themeFill="background2"/>
            <w:vAlign w:val="center"/>
          </w:tcPr>
          <w:p>
            <w:pPr>
              <w:jc w:val="center"/>
              <w:rPr>
                <w:rFonts w:ascii="Times" w:hAnsi="Times" w:eastAsia="Times New Roman" w:cs="Times"/>
                <w:b/>
                <w:color w:val="000000"/>
                <w:sz w:val="16"/>
                <w:szCs w:val="16"/>
                <w:lang w:val="es-EC" w:eastAsia="es-EC"/>
              </w:rPr>
            </w:pPr>
            <w:r>
              <w:rPr>
                <w:rFonts w:ascii="Times" w:hAnsi="Times" w:eastAsia="Times New Roman" w:cs="Times"/>
                <w:b/>
                <w:color w:val="000000"/>
                <w:sz w:val="16"/>
                <w:szCs w:val="16"/>
                <w:lang w:val="es-EC" w:eastAsia="es-EC"/>
              </w:rPr>
              <w:t>Letras</w:t>
            </w:r>
          </w:p>
        </w:tc>
        <w:tc>
          <w:tcPr>
            <w:tcW w:w="1056" w:type="dxa"/>
            <w:vMerge w:val="continue"/>
            <w:tcBorders>
              <w:top w:val="single" w:color="auto" w:sz="8" w:space="0"/>
              <w:left w:val="single" w:color="auto" w:sz="8" w:space="0"/>
              <w:bottom w:val="single" w:color="000000" w:sz="8" w:space="0"/>
              <w:right w:val="single" w:color="auto" w:sz="8" w:space="0"/>
            </w:tcBorders>
            <w:vAlign w:val="center"/>
          </w:tcPr>
          <w:p>
            <w:pPr>
              <w:rPr>
                <w:rFonts w:ascii="Times" w:hAnsi="Times" w:eastAsia="Times New Roman" w:cs="Times"/>
                <w:b/>
                <w:bCs/>
                <w:color w:val="000000"/>
                <w:sz w:val="16"/>
                <w:szCs w:val="16"/>
                <w:lang w:val="es-EC" w:eastAsia="es-EC"/>
              </w:rPr>
            </w:pP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1</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1</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01</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Uno</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Kilogramo</w:t>
            </w: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2</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2</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11</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Once</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Metro</w:t>
            </w:r>
          </w:p>
        </w:tc>
      </w:tr>
      <w:tr>
        <w:tblPrEx>
          <w:tblLayout w:type="fixed"/>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3</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3</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03</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Tres</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Global</w:t>
            </w:r>
          </w:p>
        </w:tc>
      </w:tr>
      <w:tr>
        <w:tblPrEx>
          <w:tblLayout w:type="fixed"/>
          <w:tblCellMar>
            <w:top w:w="0" w:type="dxa"/>
            <w:left w:w="70" w:type="dxa"/>
            <w:bottom w:w="0" w:type="dxa"/>
            <w:right w:w="70" w:type="dxa"/>
          </w:tblCellMar>
        </w:tblPrEx>
        <w:trPr>
          <w:trHeight w:val="789"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4</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Ej. Toner Black C746 H1KG</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Toner original de alto rendimiento, para impresora Lexmark c746</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Original</w:t>
            </w:r>
          </w:p>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Código C746h1kg</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impresora Lexmark, entrega inmediata</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10</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Diez</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Unidad</w:t>
            </w: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5</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Ej.  Roll up sin estructura</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Impresión full color en lona e instalación de acuerdo a diseño aprobado </w:t>
            </w:r>
          </w:p>
        </w:tc>
        <w:tc>
          <w:tcPr>
            <w:tcW w:w="1056" w:type="dxa"/>
            <w:tcBorders>
              <w:top w:val="nil"/>
              <w:left w:val="nil"/>
              <w:bottom w:val="single" w:color="auto" w:sz="8" w:space="0"/>
              <w:right w:val="single" w:color="auto" w:sz="8" w:space="0"/>
            </w:tcBorders>
            <w:shd w:val="clear" w:color="auto" w:fill="auto"/>
            <w:vAlign w:val="center"/>
          </w:tcPr>
          <w:p>
            <w:pP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Entrega entre 2 a 4 días desde su requerimiento Dimensiones Largo: Ancho</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Programas y eventos dentro y fuera de la UNL</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10</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Diez</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Unidad</w:t>
            </w:r>
          </w:p>
          <w:p>
            <w:pPr>
              <w:jc w:val="center"/>
              <w:rPr>
                <w:rFonts w:ascii="Times" w:hAnsi="Times" w:eastAsia="Times New Roman" w:cs="Times"/>
                <w:color w:val="000000"/>
                <w:sz w:val="16"/>
                <w:szCs w:val="16"/>
                <w:lang w:val="es-EC" w:eastAsia="es-EC"/>
              </w:rPr>
            </w:pP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6</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rPr>
            </w:pPr>
            <w:r>
              <w:rPr>
                <w:rFonts w:ascii="Times" w:hAnsi="Times" w:eastAsia="Times New Roman" w:cs="Times"/>
                <w:color w:val="000000"/>
                <w:sz w:val="16"/>
                <w:szCs w:val="16"/>
                <w:lang w:val="es-EC"/>
              </w:rPr>
              <w:t>Ej. Manija pro negra derecha MI</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Accesorio derecho interior, para reposición, deben ser de marca especifica</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Original de marca</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Material de carpintería para reemplazar cerraduras marca MICO</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03</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Tres</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Unidad </w:t>
            </w:r>
          </w:p>
        </w:tc>
      </w:tr>
      <w:tr>
        <w:tblPrEx>
          <w:tblLayout w:type="fixed"/>
          <w:tblCellMar>
            <w:top w:w="0" w:type="dxa"/>
            <w:left w:w="70" w:type="dxa"/>
            <w:bottom w:w="0" w:type="dxa"/>
            <w:right w:w="70" w:type="dxa"/>
          </w:tblCellMar>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 </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665"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w:t>
            </w:r>
          </w:p>
        </w:tc>
      </w:tr>
      <w:tr>
        <w:tblPrEx>
          <w:tblLayout w:type="fixed"/>
        </w:tblPrEx>
        <w:trPr>
          <w:trHeight w:val="437" w:hRule="atLeast"/>
        </w:trPr>
        <w:tc>
          <w:tcPr>
            <w:tcW w:w="541" w:type="dxa"/>
            <w:tcBorders>
              <w:top w:val="nil"/>
              <w:left w:val="single" w:color="auto" w:sz="8" w:space="0"/>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N</w:t>
            </w:r>
          </w:p>
        </w:tc>
        <w:tc>
          <w:tcPr>
            <w:tcW w:w="1439" w:type="dxa"/>
            <w:tcBorders>
              <w:top w:val="nil"/>
              <w:left w:val="nil"/>
              <w:bottom w:val="single" w:color="auto" w:sz="8" w:space="0"/>
              <w:right w:val="single" w:color="auto" w:sz="8" w:space="0"/>
            </w:tcBorders>
            <w:shd w:val="clear" w:color="auto" w:fill="auto"/>
            <w:vAlign w:val="center"/>
          </w:tcPr>
          <w:p>
            <w:pPr>
              <w:jc w:val="both"/>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rPr>
              <w:t>Producto o servicio n</w:t>
            </w:r>
          </w:p>
        </w:tc>
        <w:tc>
          <w:tcPr>
            <w:tcW w:w="197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1181"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 </w:t>
            </w:r>
          </w:p>
        </w:tc>
        <w:tc>
          <w:tcPr>
            <w:tcW w:w="928"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00</w:t>
            </w:r>
          </w:p>
        </w:tc>
        <w:tc>
          <w:tcPr>
            <w:tcW w:w="665" w:type="dxa"/>
            <w:tcBorders>
              <w:top w:val="nil"/>
              <w:left w:val="nil"/>
              <w:bottom w:val="single" w:color="auto" w:sz="8" w:space="0"/>
              <w:right w:val="single" w:color="auto" w:sz="8" w:space="0"/>
            </w:tcBorders>
            <w:shd w:val="clear" w:color="auto" w:fill="auto"/>
            <w:vAlign w:val="center"/>
          </w:tcPr>
          <w:p>
            <w:pP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 xml:space="preserve"> xxx</w:t>
            </w:r>
          </w:p>
        </w:tc>
        <w:tc>
          <w:tcPr>
            <w:tcW w:w="1056" w:type="dxa"/>
            <w:tcBorders>
              <w:top w:val="nil"/>
              <w:left w:val="nil"/>
              <w:bottom w:val="single" w:color="auto" w:sz="8" w:space="0"/>
              <w:right w:val="single" w:color="auto" w:sz="8" w:space="0"/>
            </w:tcBorders>
            <w:shd w:val="clear" w:color="auto" w:fill="auto"/>
            <w:vAlign w:val="center"/>
          </w:tcPr>
          <w:p>
            <w:pPr>
              <w:jc w:val="center"/>
              <w:rPr>
                <w:rFonts w:ascii="Times" w:hAnsi="Times" w:eastAsia="Times New Roman" w:cs="Times"/>
                <w:color w:val="000000"/>
                <w:sz w:val="16"/>
                <w:szCs w:val="16"/>
                <w:lang w:val="es-EC" w:eastAsia="es-EC"/>
              </w:rPr>
            </w:pPr>
            <w:r>
              <w:rPr>
                <w:rFonts w:ascii="Times" w:hAnsi="Times" w:eastAsia="Times New Roman" w:cs="Times"/>
                <w:color w:val="000000"/>
                <w:sz w:val="16"/>
                <w:szCs w:val="16"/>
                <w:lang w:val="es-EC" w:eastAsia="es-EC"/>
              </w:rPr>
              <w:t>xxx</w:t>
            </w:r>
          </w:p>
        </w:tc>
      </w:tr>
    </w:tbl>
    <w:p>
      <w:pPr>
        <w:widowControl w:val="0"/>
        <w:spacing w:line="276" w:lineRule="auto"/>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Análisis de precios actualizados a febrero 2020 y considerando procesos adjudicados por la propia Universidad Nacional de Loja durante los años 2018 y 2019.</w:t>
      </w:r>
    </w:p>
    <w:p>
      <w:pPr>
        <w:widowControl w:val="0"/>
        <w:spacing w:line="276" w:lineRule="auto"/>
        <w:jc w:val="both"/>
        <w:rPr>
          <w:rFonts w:ascii="Times New Roman" w:hAnsi="Times New Roman" w:eastAsia="Times New Roman" w:cs="Times New Roman"/>
          <w:b/>
          <w:sz w:val="20"/>
          <w:szCs w:val="20"/>
          <w:lang w:val="es-ES" w:eastAsia="es-ES"/>
        </w:rPr>
      </w:pPr>
    </w:p>
    <w:tbl>
      <w:tblPr>
        <w:tblStyle w:val="7"/>
        <w:tblW w:w="906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1536"/>
        <w:gridCol w:w="1791"/>
        <w:gridCol w:w="465"/>
        <w:gridCol w:w="881"/>
        <w:gridCol w:w="1357"/>
        <w:gridCol w:w="1630"/>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588" w:hRule="atLeast"/>
        </w:trPr>
        <w:tc>
          <w:tcPr>
            <w:tcW w:w="1536" w:type="dxa"/>
            <w:shd w:val="clear" w:color="000000" w:fill="1F4E78"/>
            <w:vAlign w:val="center"/>
          </w:tcPr>
          <w:p>
            <w:pPr>
              <w:jc w:val="center"/>
              <w:rPr>
                <w:rFonts w:ascii="Calibri" w:hAnsi="Calibri" w:eastAsia="Times New Roman" w:cs="Calibri"/>
                <w:b/>
                <w:bCs/>
                <w:color w:val="FFFFFF"/>
                <w:sz w:val="16"/>
                <w:szCs w:val="16"/>
                <w:lang w:val="es-EC" w:eastAsia="es-EC"/>
              </w:rPr>
            </w:pPr>
            <w:r>
              <w:rPr>
                <w:rFonts w:ascii="Calibri" w:hAnsi="Calibri" w:eastAsia="Times New Roman" w:cs="Calibri"/>
                <w:b/>
                <w:bCs/>
                <w:color w:val="FFFFFF"/>
                <w:sz w:val="16"/>
                <w:szCs w:val="16"/>
                <w:lang w:val="es-EC" w:eastAsia="es-EC"/>
              </w:rPr>
              <w:t>Código Procedimiento</w:t>
            </w:r>
          </w:p>
        </w:tc>
        <w:tc>
          <w:tcPr>
            <w:tcW w:w="1791" w:type="dxa"/>
            <w:shd w:val="clear" w:color="000000" w:fill="1F4E78"/>
            <w:vAlign w:val="center"/>
          </w:tcPr>
          <w:p>
            <w:pPr>
              <w:jc w:val="center"/>
              <w:rPr>
                <w:rFonts w:ascii="Calibri" w:hAnsi="Calibri" w:eastAsia="Times New Roman" w:cs="Calibri"/>
                <w:b/>
                <w:bCs/>
                <w:color w:val="FFFFFF"/>
                <w:sz w:val="16"/>
                <w:szCs w:val="16"/>
                <w:lang w:val="es-EC" w:eastAsia="es-EC"/>
              </w:rPr>
            </w:pPr>
            <w:r>
              <w:rPr>
                <w:rFonts w:ascii="Calibri" w:hAnsi="Calibri" w:eastAsia="Times New Roman" w:cs="Calibri"/>
                <w:b/>
                <w:bCs/>
                <w:color w:val="FFFFFF"/>
                <w:sz w:val="16"/>
                <w:szCs w:val="16"/>
                <w:lang w:val="es-EC" w:eastAsia="es-EC"/>
              </w:rPr>
              <w:t>Entidad</w:t>
            </w:r>
          </w:p>
        </w:tc>
        <w:tc>
          <w:tcPr>
            <w:tcW w:w="465" w:type="dxa"/>
            <w:shd w:val="clear" w:color="000000" w:fill="1F4E78"/>
            <w:vAlign w:val="center"/>
          </w:tcPr>
          <w:p>
            <w:pPr>
              <w:jc w:val="center"/>
              <w:rPr>
                <w:rFonts w:ascii="Calibri" w:hAnsi="Calibri" w:eastAsia="Times New Roman" w:cs="Calibri"/>
                <w:b/>
                <w:bCs/>
                <w:color w:val="FFFFFF"/>
                <w:sz w:val="16"/>
                <w:szCs w:val="16"/>
                <w:lang w:val="es-EC" w:eastAsia="es-EC"/>
              </w:rPr>
            </w:pPr>
            <w:r>
              <w:rPr>
                <w:rFonts w:ascii="Calibri" w:hAnsi="Calibri" w:eastAsia="Times New Roman" w:cs="Calibri"/>
                <w:b/>
                <w:bCs/>
                <w:color w:val="FFFFFF"/>
                <w:sz w:val="16"/>
                <w:szCs w:val="16"/>
                <w:lang w:val="es-EC" w:eastAsia="es-EC"/>
              </w:rPr>
              <w:t>Año</w:t>
            </w:r>
          </w:p>
        </w:tc>
        <w:tc>
          <w:tcPr>
            <w:tcW w:w="881" w:type="dxa"/>
            <w:shd w:val="clear" w:color="000000" w:fill="1F4E78"/>
            <w:vAlign w:val="center"/>
          </w:tcPr>
          <w:p>
            <w:pPr>
              <w:jc w:val="center"/>
              <w:rPr>
                <w:rFonts w:ascii="Calibri" w:hAnsi="Calibri" w:eastAsia="Times New Roman" w:cs="Calibri"/>
                <w:b/>
                <w:bCs/>
                <w:color w:val="FFFFFF"/>
                <w:sz w:val="16"/>
                <w:szCs w:val="16"/>
                <w:lang w:val="es-EC" w:eastAsia="es-EC"/>
              </w:rPr>
            </w:pPr>
            <w:r>
              <w:rPr>
                <w:rFonts w:ascii="Calibri" w:hAnsi="Calibri" w:eastAsia="Times New Roman" w:cs="Calibri"/>
                <w:b/>
                <w:bCs/>
                <w:color w:val="FFFFFF"/>
                <w:sz w:val="16"/>
                <w:szCs w:val="16"/>
                <w:lang w:val="es-EC" w:eastAsia="es-EC"/>
              </w:rPr>
              <w:t>Mes</w:t>
            </w:r>
          </w:p>
        </w:tc>
        <w:tc>
          <w:tcPr>
            <w:tcW w:w="1357" w:type="dxa"/>
            <w:shd w:val="clear" w:color="000000" w:fill="1F4E78"/>
            <w:vAlign w:val="center"/>
          </w:tcPr>
          <w:p>
            <w:pPr>
              <w:jc w:val="center"/>
              <w:rPr>
                <w:rFonts w:ascii="Calibri" w:hAnsi="Calibri" w:eastAsia="Times New Roman" w:cs="Calibri"/>
                <w:b/>
                <w:bCs/>
                <w:color w:val="FFFFFF"/>
                <w:sz w:val="16"/>
                <w:szCs w:val="16"/>
                <w:lang w:val="es-EC" w:eastAsia="es-EC"/>
              </w:rPr>
            </w:pPr>
            <w:r>
              <w:rPr>
                <w:rFonts w:ascii="Calibri" w:hAnsi="Calibri" w:eastAsia="Times New Roman" w:cs="Calibri"/>
                <w:b/>
                <w:bCs/>
                <w:color w:val="FFFFFF"/>
                <w:sz w:val="16"/>
                <w:szCs w:val="16"/>
                <w:lang w:val="es-EC" w:eastAsia="es-EC"/>
              </w:rPr>
              <w:t>Inflación Acumulada</w:t>
            </w:r>
          </w:p>
        </w:tc>
        <w:tc>
          <w:tcPr>
            <w:tcW w:w="1630" w:type="dxa"/>
            <w:shd w:val="clear" w:color="000000" w:fill="1F4E78"/>
            <w:vAlign w:val="center"/>
          </w:tcPr>
          <w:p>
            <w:pPr>
              <w:jc w:val="center"/>
              <w:rPr>
                <w:rFonts w:ascii="Calibri" w:hAnsi="Calibri" w:eastAsia="Times New Roman" w:cs="Calibri"/>
                <w:b/>
                <w:bCs/>
                <w:color w:val="FFFFFF"/>
                <w:sz w:val="16"/>
                <w:szCs w:val="16"/>
                <w:lang w:val="es-EC" w:eastAsia="es-EC"/>
              </w:rPr>
            </w:pPr>
            <w:r>
              <w:rPr>
                <w:rFonts w:ascii="Calibri" w:hAnsi="Calibri" w:eastAsia="Times New Roman" w:cs="Calibri"/>
                <w:b/>
                <w:bCs/>
                <w:color w:val="FFFFFF"/>
                <w:sz w:val="16"/>
                <w:szCs w:val="16"/>
                <w:lang w:val="es-EC" w:eastAsia="es-EC"/>
              </w:rPr>
              <w:t>Valor Unitario Adjudicado</w:t>
            </w:r>
          </w:p>
        </w:tc>
        <w:tc>
          <w:tcPr>
            <w:tcW w:w="1405" w:type="dxa"/>
            <w:shd w:val="clear" w:color="000000" w:fill="1F4E78"/>
            <w:vAlign w:val="center"/>
          </w:tcPr>
          <w:p>
            <w:pPr>
              <w:jc w:val="center"/>
              <w:rPr>
                <w:rFonts w:ascii="Calibri" w:hAnsi="Calibri" w:eastAsia="Times New Roman" w:cs="Calibri"/>
                <w:b/>
                <w:bCs/>
                <w:color w:val="FFFFFF"/>
                <w:sz w:val="16"/>
                <w:szCs w:val="16"/>
                <w:lang w:val="es-EC" w:eastAsia="es-EC"/>
              </w:rPr>
            </w:pPr>
            <w:r>
              <w:rPr>
                <w:rFonts w:ascii="Calibri" w:hAnsi="Calibri" w:eastAsia="Times New Roman" w:cs="Calibri"/>
                <w:b/>
                <w:bCs/>
                <w:color w:val="FFFFFF"/>
                <w:sz w:val="16"/>
                <w:szCs w:val="16"/>
                <w:lang w:val="es-EC" w:eastAsia="es-EC"/>
              </w:rPr>
              <w:t>Valor Unitario Actual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576" w:hRule="atLeast"/>
        </w:trPr>
        <w:tc>
          <w:tcPr>
            <w:tcW w:w="1536" w:type="dxa"/>
            <w:shd w:val="clear" w:color="auto" w:fill="auto"/>
            <w:noWrap/>
            <w:vAlign w:val="center"/>
          </w:tcPr>
          <w:p>
            <w:pPr>
              <w:jc w:val="both"/>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eastAsia="es-EC"/>
              </w:rPr>
              <w:t xml:space="preserve">RE-UNL-042-2018 </w:t>
            </w:r>
          </w:p>
        </w:tc>
        <w:tc>
          <w:tcPr>
            <w:tcW w:w="179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Universidad Nacional de Loja</w:t>
            </w:r>
          </w:p>
        </w:tc>
        <w:tc>
          <w:tcPr>
            <w:tcW w:w="465"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2018</w:t>
            </w:r>
          </w:p>
        </w:tc>
        <w:tc>
          <w:tcPr>
            <w:tcW w:w="88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Noviembre</w:t>
            </w:r>
          </w:p>
        </w:tc>
        <w:tc>
          <w:tcPr>
            <w:tcW w:w="1357" w:type="dxa"/>
            <w:shd w:val="clear" w:color="000000" w:fill="D9D9D9"/>
            <w:vAlign w:val="center"/>
          </w:tcPr>
          <w:p>
            <w:pPr>
              <w:jc w:val="center"/>
              <w:rPr>
                <w:rFonts w:ascii="Calibri" w:hAnsi="Calibri" w:eastAsia="Times New Roman" w:cs="Calibri"/>
                <w:b/>
                <w:bCs/>
                <w:sz w:val="16"/>
                <w:szCs w:val="16"/>
                <w:lang w:val="es-EC" w:eastAsia="es-EC"/>
              </w:rPr>
            </w:pPr>
            <w:r>
              <w:rPr>
                <w:rFonts w:ascii="Calibri" w:hAnsi="Calibri" w:eastAsia="Times New Roman" w:cs="Calibri"/>
                <w:b/>
                <w:bCs/>
                <w:sz w:val="16"/>
                <w:szCs w:val="16"/>
                <w:lang w:val="es-EC" w:eastAsia="es-EC"/>
              </w:rPr>
              <w:t>-0,00124000</w:t>
            </w:r>
          </w:p>
        </w:tc>
        <w:tc>
          <w:tcPr>
            <w:tcW w:w="1630"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28489,94</w:t>
            </w:r>
          </w:p>
        </w:tc>
        <w:tc>
          <w:tcPr>
            <w:tcW w:w="1405" w:type="dxa"/>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28454,61247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576" w:hRule="atLeast"/>
        </w:trPr>
        <w:tc>
          <w:tcPr>
            <w:tcW w:w="1536" w:type="dxa"/>
            <w:shd w:val="clear" w:color="auto" w:fill="auto"/>
            <w:noWrap/>
            <w:vAlign w:val="center"/>
          </w:tcPr>
          <w:p>
            <w:pPr>
              <w:jc w:val="both"/>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eastAsia="es-EC"/>
              </w:rPr>
              <w:t xml:space="preserve">RE-UNL-041-2018 </w:t>
            </w:r>
          </w:p>
        </w:tc>
        <w:tc>
          <w:tcPr>
            <w:tcW w:w="179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Universidad Nacional de Loja</w:t>
            </w:r>
          </w:p>
        </w:tc>
        <w:tc>
          <w:tcPr>
            <w:tcW w:w="465"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2018</w:t>
            </w:r>
          </w:p>
        </w:tc>
        <w:tc>
          <w:tcPr>
            <w:tcW w:w="88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Noviembre</w:t>
            </w:r>
          </w:p>
        </w:tc>
        <w:tc>
          <w:tcPr>
            <w:tcW w:w="1357" w:type="dxa"/>
            <w:shd w:val="clear" w:color="000000" w:fill="D9D9D9"/>
            <w:vAlign w:val="center"/>
          </w:tcPr>
          <w:p>
            <w:pPr>
              <w:jc w:val="center"/>
              <w:rPr>
                <w:rFonts w:ascii="Calibri" w:hAnsi="Calibri" w:eastAsia="Times New Roman" w:cs="Calibri"/>
                <w:b/>
                <w:bCs/>
                <w:sz w:val="16"/>
                <w:szCs w:val="16"/>
                <w:lang w:val="es-EC" w:eastAsia="es-EC"/>
              </w:rPr>
            </w:pPr>
            <w:r>
              <w:rPr>
                <w:rFonts w:ascii="Calibri" w:hAnsi="Calibri" w:eastAsia="Times New Roman" w:cs="Calibri"/>
                <w:b/>
                <w:bCs/>
                <w:sz w:val="16"/>
                <w:szCs w:val="16"/>
                <w:lang w:val="es-EC" w:eastAsia="es-EC"/>
              </w:rPr>
              <w:t>-0,00124000</w:t>
            </w:r>
          </w:p>
        </w:tc>
        <w:tc>
          <w:tcPr>
            <w:tcW w:w="1630"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15932,75</w:t>
            </w:r>
          </w:p>
        </w:tc>
        <w:tc>
          <w:tcPr>
            <w:tcW w:w="1405" w:type="dxa"/>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15912,99339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Ex>
        <w:trPr>
          <w:trHeight w:val="576" w:hRule="atLeast"/>
        </w:trPr>
        <w:tc>
          <w:tcPr>
            <w:tcW w:w="1536" w:type="dxa"/>
            <w:shd w:val="clear" w:color="auto" w:fill="auto"/>
            <w:noWrap/>
            <w:vAlign w:val="center"/>
          </w:tcPr>
          <w:p>
            <w:pPr>
              <w:jc w:val="both"/>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eastAsia="es-EC"/>
              </w:rPr>
              <w:t>RE-UNL-013-2019</w:t>
            </w:r>
          </w:p>
        </w:tc>
        <w:tc>
          <w:tcPr>
            <w:tcW w:w="179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Universidad Nacional de Loja</w:t>
            </w:r>
          </w:p>
        </w:tc>
        <w:tc>
          <w:tcPr>
            <w:tcW w:w="465"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2019</w:t>
            </w:r>
          </w:p>
        </w:tc>
        <w:tc>
          <w:tcPr>
            <w:tcW w:w="88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Noviembre</w:t>
            </w:r>
          </w:p>
        </w:tc>
        <w:tc>
          <w:tcPr>
            <w:tcW w:w="1357" w:type="dxa"/>
            <w:shd w:val="clear" w:color="000000" w:fill="D9D9D9"/>
            <w:vAlign w:val="center"/>
          </w:tcPr>
          <w:p>
            <w:pPr>
              <w:jc w:val="center"/>
              <w:rPr>
                <w:rFonts w:ascii="Calibri" w:hAnsi="Calibri" w:eastAsia="Times New Roman" w:cs="Calibri"/>
                <w:b/>
                <w:bCs/>
                <w:sz w:val="16"/>
                <w:szCs w:val="16"/>
                <w:lang w:val="es-EC" w:eastAsia="es-EC"/>
              </w:rPr>
            </w:pPr>
            <w:r>
              <w:rPr>
                <w:rFonts w:ascii="Calibri" w:hAnsi="Calibri" w:eastAsia="Times New Roman" w:cs="Calibri"/>
                <w:b/>
                <w:bCs/>
                <w:sz w:val="16"/>
                <w:szCs w:val="16"/>
                <w:lang w:val="es-EC" w:eastAsia="es-EC"/>
              </w:rPr>
              <w:t>-0,00630000</w:t>
            </w:r>
          </w:p>
        </w:tc>
        <w:tc>
          <w:tcPr>
            <w:tcW w:w="1630"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15974,12</w:t>
            </w:r>
          </w:p>
        </w:tc>
        <w:tc>
          <w:tcPr>
            <w:tcW w:w="1405" w:type="dxa"/>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15873,48304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6" w:hRule="atLeast"/>
        </w:trPr>
        <w:tc>
          <w:tcPr>
            <w:tcW w:w="1536" w:type="dxa"/>
            <w:shd w:val="clear" w:color="auto" w:fill="auto"/>
            <w:noWrap/>
            <w:vAlign w:val="center"/>
          </w:tcPr>
          <w:p>
            <w:pPr>
              <w:jc w:val="both"/>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eastAsia="es-EC"/>
              </w:rPr>
              <w:t>RE-UNL-011-2019</w:t>
            </w:r>
          </w:p>
        </w:tc>
        <w:tc>
          <w:tcPr>
            <w:tcW w:w="179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Universidad Nacional de Loja</w:t>
            </w:r>
          </w:p>
        </w:tc>
        <w:tc>
          <w:tcPr>
            <w:tcW w:w="465"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2019</w:t>
            </w:r>
          </w:p>
        </w:tc>
        <w:tc>
          <w:tcPr>
            <w:tcW w:w="881" w:type="dxa"/>
            <w:shd w:val="clear" w:color="auto" w:fill="auto"/>
            <w:vAlign w:val="center"/>
          </w:tcPr>
          <w:p>
            <w:pP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Noviembre</w:t>
            </w:r>
          </w:p>
        </w:tc>
        <w:tc>
          <w:tcPr>
            <w:tcW w:w="1357" w:type="dxa"/>
            <w:shd w:val="clear" w:color="000000" w:fill="D9D9D9"/>
            <w:vAlign w:val="center"/>
          </w:tcPr>
          <w:p>
            <w:pPr>
              <w:jc w:val="center"/>
              <w:rPr>
                <w:rFonts w:ascii="Calibri" w:hAnsi="Calibri" w:eastAsia="Times New Roman" w:cs="Calibri"/>
                <w:b/>
                <w:bCs/>
                <w:sz w:val="16"/>
                <w:szCs w:val="16"/>
                <w:lang w:val="es-EC" w:eastAsia="es-EC"/>
              </w:rPr>
            </w:pPr>
            <w:r>
              <w:rPr>
                <w:rFonts w:ascii="Calibri" w:hAnsi="Calibri" w:eastAsia="Times New Roman" w:cs="Calibri"/>
                <w:b/>
                <w:bCs/>
                <w:sz w:val="16"/>
                <w:szCs w:val="16"/>
                <w:lang w:val="es-EC" w:eastAsia="es-EC"/>
              </w:rPr>
              <w:t>-0,00630000</w:t>
            </w:r>
          </w:p>
        </w:tc>
        <w:tc>
          <w:tcPr>
            <w:tcW w:w="1630" w:type="dxa"/>
            <w:shd w:val="clear" w:color="auto" w:fill="auto"/>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4464,29</w:t>
            </w:r>
          </w:p>
        </w:tc>
        <w:tc>
          <w:tcPr>
            <w:tcW w:w="1405" w:type="dxa"/>
            <w:shd w:val="clear" w:color="000000" w:fill="D9D9D9"/>
            <w:vAlign w:val="center"/>
          </w:tcPr>
          <w:p>
            <w:pPr>
              <w:jc w:val="center"/>
              <w:rPr>
                <w:rFonts w:ascii="Calibri" w:hAnsi="Calibri" w:eastAsia="Times New Roman" w:cs="Calibri"/>
                <w:b/>
                <w:bCs/>
                <w:color w:val="000000"/>
                <w:sz w:val="16"/>
                <w:szCs w:val="16"/>
                <w:lang w:val="es-EC" w:eastAsia="es-EC"/>
              </w:rPr>
            </w:pPr>
            <w:r>
              <w:rPr>
                <w:rFonts w:ascii="Calibri" w:hAnsi="Calibri" w:eastAsia="Times New Roman" w:cs="Calibri"/>
                <w:b/>
                <w:bCs/>
                <w:color w:val="000000"/>
                <w:sz w:val="16"/>
                <w:szCs w:val="16"/>
                <w:lang w:val="es-EC" w:eastAsia="es-EC"/>
              </w:rPr>
              <w:t>4436,16497</w:t>
            </w:r>
          </w:p>
        </w:tc>
      </w:tr>
    </w:tbl>
    <w:p>
      <w:pPr>
        <w:widowControl w:val="0"/>
        <w:spacing w:line="276" w:lineRule="auto"/>
        <w:jc w:val="both"/>
        <w:rPr>
          <w:rFonts w:ascii="Times New Roman" w:hAnsi="Times New Roman" w:eastAsia="Times New Roman" w:cs="Times New Roman"/>
          <w:sz w:val="20"/>
          <w:szCs w:val="20"/>
          <w:lang w:val="es-ES" w:eastAsia="es-ES"/>
        </w:rPr>
      </w:pPr>
    </w:p>
    <w:p>
      <w:pPr>
        <w:widowControl w:val="0"/>
        <w:spacing w:line="276" w:lineRule="auto"/>
        <w:jc w:val="both"/>
        <w:rPr>
          <w:rFonts w:ascii="Times New Roman" w:hAnsi="Times New Roman" w:eastAsia="Times New Roman" w:cs="Times New Roman"/>
          <w:sz w:val="20"/>
          <w:szCs w:val="20"/>
          <w:lang w:val="es-ES" w:eastAsia="es-ES"/>
        </w:rPr>
      </w:pPr>
      <w:r>
        <w:rPr>
          <w:rFonts w:ascii="Times New Roman" w:hAnsi="Times New Roman" w:eastAsia="Times New Roman" w:cs="Times New Roman"/>
          <w:sz w:val="20"/>
          <w:szCs w:val="20"/>
          <w:lang w:val="es-ES" w:eastAsia="es-ES"/>
        </w:rPr>
        <w:t>Al considerar que los bienes, productos y servicios del presente objeto de contratación difieren de la actual necesidad institucional solo se ha procedido ha la actualización del valor adjudicado de manera global.</w:t>
      </w:r>
    </w:p>
    <w:p>
      <w:pPr>
        <w:widowControl w:val="0"/>
        <w:spacing w:line="276" w:lineRule="auto"/>
        <w:jc w:val="both"/>
        <w:rPr>
          <w:rFonts w:ascii="Times New Roman" w:hAnsi="Times New Roman" w:eastAsia="Times New Roman" w:cs="Times New Roman"/>
          <w:b/>
          <w:sz w:val="20"/>
          <w:szCs w:val="20"/>
          <w:lang w:val="es-ES" w:eastAsia="es-ES"/>
        </w:rPr>
      </w:pPr>
    </w:p>
    <w:p>
      <w:pPr>
        <w:pStyle w:val="31"/>
        <w:numPr>
          <w:ilvl w:val="0"/>
          <w:numId w:val="6"/>
        </w:numPr>
        <w:pBdr>
          <w:top w:val="single" w:color="auto" w:sz="4" w:space="3"/>
          <w:left w:val="single" w:color="auto" w:sz="4" w:space="19"/>
          <w:bottom w:val="single" w:color="auto" w:sz="4" w:space="1"/>
          <w:right w:val="single" w:color="auto" w:sz="4" w:space="4"/>
        </w:pBdr>
        <w:shd w:val="clear" w:color="auto" w:fill="7F7F7F" w:themeFill="background1" w:themeFillShade="80"/>
        <w:tabs>
          <w:tab w:val="left" w:pos="4853"/>
        </w:tabs>
        <w:jc w:val="both"/>
        <w:rPr>
          <w:rFonts w:ascii="Times New Roman" w:hAnsi="Times New Roman" w:eastAsia="Times New Roman" w:cs="Times New Roman"/>
          <w:b/>
          <w:bCs/>
          <w:color w:val="FFFFFF"/>
          <w:sz w:val="20"/>
          <w:szCs w:val="20"/>
        </w:rPr>
      </w:pPr>
      <w:r>
        <w:rPr>
          <w:rFonts w:ascii="Times New Roman" w:hAnsi="Times New Roman" w:eastAsia="Times New Roman" w:cs="Times New Roman"/>
          <w:b/>
          <w:bCs/>
          <w:color w:val="FFFFFF"/>
          <w:sz w:val="20"/>
          <w:szCs w:val="20"/>
        </w:rPr>
        <w:t>Considerar la posibilidad de la existencia de productos o servicios sustitutos más eficientes.</w:t>
      </w:r>
    </w:p>
    <w:p>
      <w:pPr>
        <w:pStyle w:val="9"/>
        <w:spacing w:before="69"/>
        <w:ind w:right="78"/>
        <w:jc w:val="both"/>
        <w:rPr>
          <w:rFonts w:eastAsia="Times New Roman"/>
          <w:sz w:val="20"/>
          <w:szCs w:val="20"/>
          <w:lang w:eastAsia="es-ES"/>
        </w:rPr>
      </w:pPr>
      <w:r>
        <w:rPr>
          <w:rFonts w:eastAsia="Times New Roman"/>
          <w:sz w:val="20"/>
          <w:szCs w:val="20"/>
          <w:lang w:eastAsia="es-ES"/>
        </w:rPr>
        <w:t>La “</w:t>
      </w:r>
      <w:r>
        <w:rPr>
          <w:i/>
          <w:color w:val="808080"/>
          <w:sz w:val="20"/>
          <w:szCs w:val="20"/>
        </w:rPr>
        <w:t>CONTRATACION DE PRODUCTOS Y SERVICIOS COMUNICACIONALES PARA DIFUNFIR LAS ACCIONES DE LA UNIVERSIDAD MACIONAL DE LOJA</w:t>
      </w:r>
      <w:r>
        <w:rPr>
          <w:rFonts w:eastAsia="Times New Roman"/>
          <w:sz w:val="20"/>
          <w:szCs w:val="20"/>
          <w:lang w:eastAsia="es-ES"/>
        </w:rPr>
        <w:t>”, garantiza contar con productos, servicios comunicacionales conforme la necesidad institucional actual, por ende los formatos, modelos, diseños, especificaciones técnicas no admiten otros sustitutos que no sean los realmente señalados en la solicitud de compra, especificaciones técnicas y términos de referencia.</w:t>
      </w:r>
    </w:p>
    <w:p>
      <w:pPr>
        <w:pStyle w:val="78"/>
        <w:spacing w:line="276" w:lineRule="auto"/>
        <w:jc w:val="both"/>
        <w:rPr>
          <w:rFonts w:ascii="Arial" w:hAnsi="Arial" w:cs="Arial" w:eastAsiaTheme="minorEastAsia"/>
          <w:i/>
          <w:color w:val="808080"/>
          <w:sz w:val="16"/>
          <w:szCs w:val="16"/>
        </w:rPr>
      </w:pPr>
    </w:p>
    <w:p>
      <w:pPr>
        <w:pStyle w:val="31"/>
        <w:numPr>
          <w:ilvl w:val="0"/>
          <w:numId w:val="6"/>
        </w:numPr>
        <w:pBdr>
          <w:top w:val="single" w:color="auto" w:sz="4" w:space="3"/>
          <w:left w:val="single" w:color="auto" w:sz="4" w:space="19"/>
          <w:bottom w:val="single" w:color="auto" w:sz="4" w:space="1"/>
          <w:right w:val="single" w:color="auto" w:sz="4" w:space="4"/>
        </w:pBdr>
        <w:shd w:val="clear" w:color="auto" w:fill="7F7F7F" w:themeFill="background1" w:themeFillShade="80"/>
        <w:tabs>
          <w:tab w:val="left" w:pos="4853"/>
        </w:tabs>
        <w:jc w:val="both"/>
        <w:rPr>
          <w:rFonts w:ascii="Times New Roman" w:hAnsi="Times New Roman" w:eastAsia="Times New Roman" w:cs="Times New Roman"/>
          <w:b/>
          <w:bCs/>
          <w:color w:val="FFFFFF"/>
          <w:sz w:val="20"/>
          <w:szCs w:val="20"/>
        </w:rPr>
      </w:pPr>
      <w:r>
        <w:rPr>
          <w:rFonts w:ascii="Times New Roman" w:hAnsi="Times New Roman" w:eastAsia="Times New Roman" w:cs="Times New Roman"/>
          <w:b/>
          <w:bCs/>
          <w:color w:val="FFFFFF"/>
          <w:sz w:val="20"/>
          <w:szCs w:val="20"/>
        </w:rPr>
        <w:t>Proformas de proveedores de las obras, bienes o servicios a contratar</w:t>
      </w:r>
    </w:p>
    <w:tbl>
      <w:tblPr>
        <w:tblStyle w:val="7"/>
        <w:tblW w:w="9077" w:type="dxa"/>
        <w:tblInd w:w="-5" w:type="dxa"/>
        <w:tblLayout w:type="fixed"/>
        <w:tblCellMar>
          <w:top w:w="0" w:type="dxa"/>
          <w:left w:w="70" w:type="dxa"/>
          <w:bottom w:w="0" w:type="dxa"/>
          <w:right w:w="70" w:type="dxa"/>
        </w:tblCellMar>
      </w:tblPr>
      <w:tblGrid>
        <w:gridCol w:w="438"/>
        <w:gridCol w:w="1558"/>
        <w:gridCol w:w="760"/>
        <w:gridCol w:w="623"/>
        <w:gridCol w:w="662"/>
        <w:gridCol w:w="574"/>
        <w:gridCol w:w="662"/>
        <w:gridCol w:w="574"/>
        <w:gridCol w:w="662"/>
        <w:gridCol w:w="574"/>
        <w:gridCol w:w="898"/>
        <w:gridCol w:w="1092"/>
      </w:tblGrid>
      <w:tr>
        <w:tblPrEx>
          <w:tblLayout w:type="fixed"/>
          <w:tblCellMar>
            <w:top w:w="0" w:type="dxa"/>
            <w:left w:w="70" w:type="dxa"/>
            <w:bottom w:w="0" w:type="dxa"/>
            <w:right w:w="70" w:type="dxa"/>
          </w:tblCellMar>
        </w:tblPrEx>
        <w:trPr>
          <w:trHeight w:val="400" w:hRule="atLeast"/>
        </w:trPr>
        <w:tc>
          <w:tcPr>
            <w:tcW w:w="3379" w:type="dxa"/>
            <w:gridSpan w:val="4"/>
            <w:tcBorders>
              <w:top w:val="single" w:color="auto" w:sz="4" w:space="0"/>
              <w:left w:val="single" w:color="auto" w:sz="4" w:space="0"/>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Características Técnicas</w:t>
            </w:r>
          </w:p>
        </w:tc>
        <w:tc>
          <w:tcPr>
            <w:tcW w:w="4606" w:type="dxa"/>
            <w:gridSpan w:val="7"/>
            <w:tcBorders>
              <w:top w:val="single" w:color="auto" w:sz="4" w:space="0"/>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PRECIOS REFERENCIALES UNITARIOS PROFORMAS</w:t>
            </w:r>
          </w:p>
        </w:tc>
        <w:tc>
          <w:tcPr>
            <w:tcW w:w="1092" w:type="dxa"/>
            <w:vMerge w:val="restart"/>
            <w:tcBorders>
              <w:top w:val="single" w:color="auto" w:sz="4" w:space="0"/>
              <w:left w:val="single" w:color="auto" w:sz="4" w:space="0"/>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 xml:space="preserve">PRECIO TOTAL </w:t>
            </w:r>
            <w:r>
              <w:rPr>
                <w:rFonts w:ascii="Calibri" w:hAnsi="Calibri" w:eastAsia="Times New Roman" w:cs="Calibri"/>
                <w:b/>
                <w:bCs/>
                <w:color w:val="000000"/>
                <w:sz w:val="14"/>
                <w:szCs w:val="14"/>
                <w:lang w:val="es-EC" w:eastAsia="es-EC"/>
              </w:rPr>
              <w:br w:type="textWrapping"/>
            </w:r>
            <w:r>
              <w:rPr>
                <w:rFonts w:ascii="Calibri" w:hAnsi="Calibri" w:eastAsia="Times New Roman" w:cs="Calibri"/>
                <w:b/>
                <w:bCs/>
                <w:color w:val="000000"/>
                <w:sz w:val="14"/>
                <w:szCs w:val="14"/>
                <w:lang w:val="es-EC" w:eastAsia="es-EC"/>
              </w:rPr>
              <w:t>PRESUPUESTO REFERENCIAL</w:t>
            </w:r>
          </w:p>
        </w:tc>
      </w:tr>
      <w:tr>
        <w:tblPrEx>
          <w:tblLayout w:type="fixed"/>
          <w:tblCellMar>
            <w:top w:w="0" w:type="dxa"/>
            <w:left w:w="70" w:type="dxa"/>
            <w:bottom w:w="0" w:type="dxa"/>
            <w:right w:w="70" w:type="dxa"/>
          </w:tblCellMar>
        </w:tblPrEx>
        <w:trPr>
          <w:trHeight w:val="434" w:hRule="atLeast"/>
        </w:trPr>
        <w:tc>
          <w:tcPr>
            <w:tcW w:w="438" w:type="dxa"/>
            <w:vMerge w:val="restart"/>
            <w:tcBorders>
              <w:top w:val="nil"/>
              <w:left w:val="single" w:color="auto" w:sz="4" w:space="0"/>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bookmarkStart w:id="1" w:name="_Hlk35977608"/>
            <w:r>
              <w:rPr>
                <w:rFonts w:ascii="Calibri" w:hAnsi="Calibri" w:eastAsia="Times New Roman" w:cs="Calibri"/>
                <w:b/>
                <w:bCs/>
                <w:color w:val="000000"/>
                <w:sz w:val="14"/>
                <w:szCs w:val="14"/>
                <w:lang w:val="es-EC" w:eastAsia="es-EC"/>
              </w:rPr>
              <w:t>ÍTEM</w:t>
            </w:r>
          </w:p>
        </w:tc>
        <w:tc>
          <w:tcPr>
            <w:tcW w:w="1558" w:type="dxa"/>
            <w:vMerge w:val="restart"/>
            <w:tcBorders>
              <w:top w:val="nil"/>
              <w:left w:val="single" w:color="auto" w:sz="4" w:space="0"/>
              <w:bottom w:val="single" w:color="auto" w:sz="4" w:space="0"/>
              <w:right w:val="single" w:color="auto" w:sz="4" w:space="0"/>
            </w:tcBorders>
            <w:shd w:val="clear" w:color="000000" w:fill="BEBEBE"/>
            <w:vAlign w:val="center"/>
          </w:tcPr>
          <w:p>
            <w:pPr>
              <w:jc w:val="center"/>
              <w:rPr>
                <w:rFonts w:ascii="Times" w:hAnsi="Times" w:eastAsia="Times New Roman" w:cs="Times"/>
                <w:b/>
                <w:bCs/>
                <w:color w:val="000000"/>
                <w:sz w:val="14"/>
                <w:szCs w:val="14"/>
                <w:lang w:val="es-EC" w:eastAsia="es-EC"/>
              </w:rPr>
            </w:pPr>
            <w:r>
              <w:rPr>
                <w:rFonts w:ascii="Times" w:hAnsi="Times" w:eastAsia="Times New Roman" w:cs="Times"/>
                <w:b/>
                <w:bCs/>
                <w:color w:val="000000"/>
                <w:sz w:val="14"/>
                <w:szCs w:val="14"/>
                <w:lang w:val="es-EC" w:eastAsia="es-EC"/>
              </w:rPr>
              <w:t>Descripción de bien o servicio</w:t>
            </w:r>
          </w:p>
        </w:tc>
        <w:tc>
          <w:tcPr>
            <w:tcW w:w="760" w:type="dxa"/>
            <w:vMerge w:val="restart"/>
            <w:tcBorders>
              <w:top w:val="nil"/>
              <w:left w:val="single" w:color="auto" w:sz="4" w:space="0"/>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CANTIDAD</w:t>
            </w:r>
          </w:p>
        </w:tc>
        <w:tc>
          <w:tcPr>
            <w:tcW w:w="623" w:type="dxa"/>
            <w:vMerge w:val="restart"/>
            <w:tcBorders>
              <w:top w:val="nil"/>
              <w:left w:val="single" w:color="auto" w:sz="4" w:space="0"/>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UNIDAD</w:t>
            </w:r>
          </w:p>
        </w:tc>
        <w:tc>
          <w:tcPr>
            <w:tcW w:w="1236" w:type="dxa"/>
            <w:gridSpan w:val="2"/>
            <w:tcBorders>
              <w:top w:val="single" w:color="auto" w:sz="4" w:space="0"/>
              <w:left w:val="nil"/>
              <w:bottom w:val="single" w:color="auto" w:sz="4" w:space="0"/>
              <w:right w:val="single" w:color="auto" w:sz="4" w:space="0"/>
            </w:tcBorders>
            <w:shd w:val="clear" w:color="000000" w:fill="BEBEBE"/>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8"/>
                <w:szCs w:val="18"/>
                <w:lang w:val="es-EC" w:eastAsia="es-EC"/>
              </w:rPr>
              <w:t>Razón Social Según SRI 1</w:t>
            </w:r>
          </w:p>
        </w:tc>
        <w:tc>
          <w:tcPr>
            <w:tcW w:w="1236" w:type="dxa"/>
            <w:gridSpan w:val="2"/>
            <w:tcBorders>
              <w:top w:val="single" w:color="auto" w:sz="4" w:space="0"/>
              <w:left w:val="nil"/>
              <w:bottom w:val="single" w:color="auto" w:sz="4" w:space="0"/>
              <w:right w:val="single" w:color="auto" w:sz="4" w:space="0"/>
            </w:tcBorders>
            <w:shd w:val="clear" w:color="000000" w:fill="BEBEBE"/>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8"/>
                <w:szCs w:val="18"/>
                <w:lang w:val="es-EC" w:eastAsia="es-EC"/>
              </w:rPr>
              <w:t>Razón Social Según SRI 2</w:t>
            </w:r>
          </w:p>
        </w:tc>
        <w:tc>
          <w:tcPr>
            <w:tcW w:w="1236" w:type="dxa"/>
            <w:gridSpan w:val="2"/>
            <w:tcBorders>
              <w:top w:val="single" w:color="auto" w:sz="4" w:space="0"/>
              <w:left w:val="nil"/>
              <w:bottom w:val="single" w:color="auto" w:sz="4" w:space="0"/>
              <w:right w:val="single" w:color="auto" w:sz="4" w:space="0"/>
            </w:tcBorders>
            <w:shd w:val="clear" w:color="000000" w:fill="BEBEBE"/>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8"/>
                <w:szCs w:val="18"/>
                <w:lang w:val="es-EC" w:eastAsia="es-EC"/>
              </w:rPr>
              <w:t>Razón Social Según SRI 3</w:t>
            </w:r>
          </w:p>
        </w:tc>
        <w:tc>
          <w:tcPr>
            <w:tcW w:w="898" w:type="dxa"/>
            <w:vMerge w:val="restart"/>
            <w:tcBorders>
              <w:top w:val="nil"/>
              <w:left w:val="single" w:color="auto" w:sz="4" w:space="0"/>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PRECIO UNITARIO MÁS BAJO</w:t>
            </w: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558" w:type="dxa"/>
            <w:vMerge w:val="continue"/>
            <w:tcBorders>
              <w:top w:val="nil"/>
              <w:left w:val="single" w:color="auto" w:sz="4" w:space="0"/>
              <w:bottom w:val="single" w:color="auto" w:sz="4" w:space="0"/>
              <w:right w:val="single" w:color="auto" w:sz="4" w:space="0"/>
            </w:tcBorders>
            <w:vAlign w:val="center"/>
          </w:tcPr>
          <w:p>
            <w:pPr>
              <w:rPr>
                <w:rFonts w:ascii="Times" w:hAnsi="Times" w:eastAsia="Times New Roman" w:cs="Times"/>
                <w:b/>
                <w:bCs/>
                <w:color w:val="000000"/>
                <w:sz w:val="14"/>
                <w:szCs w:val="14"/>
                <w:lang w:val="es-EC" w:eastAsia="es-EC"/>
              </w:rPr>
            </w:pPr>
          </w:p>
        </w:tc>
        <w:tc>
          <w:tcPr>
            <w:tcW w:w="760"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623"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1714321062001</w:t>
            </w:r>
          </w:p>
        </w:tc>
        <w:tc>
          <w:tcPr>
            <w:tcW w:w="1236" w:type="dxa"/>
            <w:gridSpan w:val="2"/>
            <w:tcBorders>
              <w:top w:val="single" w:color="auto" w:sz="4" w:space="0"/>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RUC 2</w:t>
            </w:r>
          </w:p>
        </w:tc>
        <w:tc>
          <w:tcPr>
            <w:tcW w:w="1236" w:type="dxa"/>
            <w:gridSpan w:val="2"/>
            <w:tcBorders>
              <w:top w:val="single" w:color="auto" w:sz="4" w:space="0"/>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RUC 3</w:t>
            </w:r>
          </w:p>
        </w:tc>
        <w:tc>
          <w:tcPr>
            <w:tcW w:w="898"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r>
      <w:bookmarkEnd w:id="1"/>
      <w:tr>
        <w:tblPrEx>
          <w:tblLayout w:type="fixed"/>
          <w:tblCellMar>
            <w:top w:w="0" w:type="dxa"/>
            <w:left w:w="70" w:type="dxa"/>
            <w:bottom w:w="0" w:type="dxa"/>
            <w:right w:w="70" w:type="dxa"/>
          </w:tblCellMar>
        </w:tblPrEx>
        <w:trPr>
          <w:trHeight w:val="274" w:hRule="atLeast"/>
        </w:trPr>
        <w:tc>
          <w:tcPr>
            <w:tcW w:w="438"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558" w:type="dxa"/>
            <w:vMerge w:val="continue"/>
            <w:tcBorders>
              <w:top w:val="nil"/>
              <w:left w:val="single" w:color="auto" w:sz="4" w:space="0"/>
              <w:bottom w:val="single" w:color="auto" w:sz="4" w:space="0"/>
              <w:right w:val="single" w:color="auto" w:sz="4" w:space="0"/>
            </w:tcBorders>
            <w:vAlign w:val="center"/>
          </w:tcPr>
          <w:p>
            <w:pPr>
              <w:rPr>
                <w:rFonts w:ascii="Times" w:hAnsi="Times" w:eastAsia="Times New Roman" w:cs="Times"/>
                <w:b/>
                <w:bCs/>
                <w:color w:val="000000"/>
                <w:sz w:val="14"/>
                <w:szCs w:val="14"/>
                <w:lang w:val="es-EC" w:eastAsia="es-EC"/>
              </w:rPr>
            </w:pPr>
          </w:p>
        </w:tc>
        <w:tc>
          <w:tcPr>
            <w:tcW w:w="760"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623"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662" w:type="dxa"/>
            <w:tcBorders>
              <w:top w:val="nil"/>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 Unitario</w:t>
            </w:r>
          </w:p>
        </w:tc>
        <w:tc>
          <w:tcPr>
            <w:tcW w:w="574" w:type="dxa"/>
            <w:tcBorders>
              <w:top w:val="nil"/>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Precio Total</w:t>
            </w:r>
          </w:p>
        </w:tc>
        <w:tc>
          <w:tcPr>
            <w:tcW w:w="662" w:type="dxa"/>
            <w:tcBorders>
              <w:top w:val="nil"/>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 Unitario</w:t>
            </w:r>
          </w:p>
        </w:tc>
        <w:tc>
          <w:tcPr>
            <w:tcW w:w="574" w:type="dxa"/>
            <w:tcBorders>
              <w:top w:val="nil"/>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Precio Total</w:t>
            </w:r>
          </w:p>
        </w:tc>
        <w:tc>
          <w:tcPr>
            <w:tcW w:w="662" w:type="dxa"/>
            <w:tcBorders>
              <w:top w:val="nil"/>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 Unitario</w:t>
            </w:r>
          </w:p>
        </w:tc>
        <w:tc>
          <w:tcPr>
            <w:tcW w:w="574" w:type="dxa"/>
            <w:tcBorders>
              <w:top w:val="nil"/>
              <w:left w:val="nil"/>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Precio Total</w:t>
            </w:r>
          </w:p>
        </w:tc>
        <w:tc>
          <w:tcPr>
            <w:tcW w:w="898"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092" w:type="dxa"/>
            <w:vMerge w:val="continue"/>
            <w:tcBorders>
              <w:top w:val="single" w:color="auto" w:sz="4" w:space="0"/>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r>
      <w:tr>
        <w:tblPrEx>
          <w:tblLayout w:type="fixed"/>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1</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r>
              <w:rPr>
                <w:rFonts w:ascii="Times" w:hAnsi="Times" w:eastAsia="Times New Roman" w:cs="Times"/>
                <w:color w:val="000000"/>
                <w:sz w:val="16"/>
                <w:szCs w:val="16"/>
                <w:lang w:val="es-EC" w:eastAsia="es-EC"/>
              </w:rPr>
              <w:t>Producto o servicio 1</w:t>
            </w: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2</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r>
              <w:rPr>
                <w:rFonts w:ascii="Times" w:hAnsi="Times" w:eastAsia="Times New Roman" w:cs="Times"/>
                <w:color w:val="000000"/>
                <w:sz w:val="16"/>
                <w:szCs w:val="16"/>
                <w:lang w:val="es-EC" w:eastAsia="es-EC"/>
              </w:rPr>
              <w:t>Producto o servicio 2</w:t>
            </w: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3</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r>
              <w:rPr>
                <w:rFonts w:ascii="Times" w:hAnsi="Times" w:eastAsia="Times New Roman" w:cs="Times"/>
                <w:color w:val="000000"/>
                <w:sz w:val="16"/>
                <w:szCs w:val="16"/>
                <w:lang w:val="es-EC" w:eastAsia="es-EC"/>
              </w:rPr>
              <w:t>Producto o servicio 3</w:t>
            </w: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4</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5</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6</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7</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8</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9</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10</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PrEx>
        <w:trPr>
          <w:trHeight w:val="274" w:hRule="atLeast"/>
        </w:trPr>
        <w:tc>
          <w:tcPr>
            <w:tcW w:w="438" w:type="dxa"/>
            <w:tcBorders>
              <w:top w:val="nil"/>
              <w:left w:val="single" w:color="auto" w:sz="4" w:space="0"/>
              <w:bottom w:val="single" w:color="auto" w:sz="4" w:space="0"/>
              <w:right w:val="single" w:color="auto" w:sz="4" w:space="0"/>
            </w:tcBorders>
            <w:shd w:val="clear" w:color="auto" w:fill="auto"/>
            <w:vAlign w:val="center"/>
          </w:tcPr>
          <w:p>
            <w:pPr>
              <w:jc w:val="center"/>
              <w:rPr>
                <w:rFonts w:ascii="Times" w:hAnsi="Times" w:eastAsia="Times New Roman" w:cs="Times"/>
                <w:color w:val="000000"/>
                <w:sz w:val="14"/>
                <w:szCs w:val="14"/>
                <w:lang w:val="es-EC" w:eastAsia="es-EC"/>
              </w:rPr>
            </w:pPr>
            <w:r>
              <w:rPr>
                <w:rFonts w:ascii="Times" w:hAnsi="Times" w:eastAsia="Times New Roman" w:cs="Times"/>
                <w:color w:val="000000"/>
                <w:sz w:val="14"/>
                <w:szCs w:val="14"/>
                <w:lang w:val="es-EC" w:eastAsia="es-EC"/>
              </w:rPr>
              <w:t>11</w:t>
            </w:r>
          </w:p>
        </w:tc>
        <w:tc>
          <w:tcPr>
            <w:tcW w:w="1558" w:type="dxa"/>
            <w:tcBorders>
              <w:top w:val="nil"/>
              <w:left w:val="nil"/>
              <w:bottom w:val="single" w:color="auto" w:sz="4" w:space="0"/>
              <w:right w:val="single" w:color="auto" w:sz="4" w:space="0"/>
            </w:tcBorders>
            <w:shd w:val="clear" w:color="auto" w:fill="auto"/>
            <w:vAlign w:val="center"/>
          </w:tcPr>
          <w:p>
            <w:pPr>
              <w:jc w:val="both"/>
              <w:rPr>
                <w:rFonts w:ascii="Arial" w:hAnsi="Arial" w:eastAsia="Times New Roman" w:cs="Arial"/>
                <w:color w:val="000000"/>
                <w:sz w:val="14"/>
                <w:szCs w:val="14"/>
                <w:lang w:val="es-EC" w:eastAsia="es-EC"/>
              </w:rPr>
            </w:pPr>
          </w:p>
        </w:tc>
        <w:tc>
          <w:tcPr>
            <w:tcW w:w="760"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23" w:type="dxa"/>
            <w:tcBorders>
              <w:top w:val="nil"/>
              <w:left w:val="nil"/>
              <w:bottom w:val="single" w:color="auto" w:sz="4" w:space="0"/>
              <w:right w:val="single" w:color="auto" w:sz="4" w:space="0"/>
            </w:tcBorders>
            <w:shd w:val="clear" w:color="auto" w:fill="auto"/>
            <w:vAlign w:val="center"/>
          </w:tcPr>
          <w:p>
            <w:pPr>
              <w:jc w:val="center"/>
              <w:rPr>
                <w:rFonts w:ascii="Arial" w:hAnsi="Arial" w:eastAsia="Times New Roman" w:cs="Arial"/>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66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574"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337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SUBTOTAL</w:t>
            </w:r>
          </w:p>
        </w:tc>
        <w:tc>
          <w:tcPr>
            <w:tcW w:w="1236" w:type="dxa"/>
            <w:gridSpan w:val="2"/>
            <w:tcBorders>
              <w:top w:val="single" w:color="auto" w:sz="4" w:space="0"/>
              <w:left w:val="nil"/>
              <w:bottom w:val="single" w:color="auto" w:sz="4" w:space="0"/>
              <w:right w:val="single" w:color="auto" w:sz="4" w:space="0"/>
            </w:tcBorders>
            <w:shd w:val="clear" w:color="auto" w:fill="auto"/>
            <w:noWrap/>
            <w:vAlign w:val="bottom"/>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24919,48</w:t>
            </w:r>
          </w:p>
        </w:tc>
        <w:tc>
          <w:tcPr>
            <w:tcW w:w="1236" w:type="dxa"/>
            <w:gridSpan w:val="2"/>
            <w:tcBorders>
              <w:top w:val="single" w:color="auto" w:sz="4" w:space="0"/>
              <w:left w:val="nil"/>
              <w:bottom w:val="single" w:color="auto" w:sz="4" w:space="0"/>
              <w:right w:val="single" w:color="auto" w:sz="4" w:space="0"/>
            </w:tcBorders>
            <w:shd w:val="clear" w:color="auto" w:fill="auto"/>
            <w:vAlign w:val="center"/>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23602,76</w:t>
            </w:r>
          </w:p>
        </w:tc>
        <w:tc>
          <w:tcPr>
            <w:tcW w:w="1236" w:type="dxa"/>
            <w:gridSpan w:val="2"/>
            <w:tcBorders>
              <w:top w:val="single" w:color="auto" w:sz="4" w:space="0"/>
              <w:left w:val="nil"/>
              <w:bottom w:val="single" w:color="auto" w:sz="4" w:space="0"/>
              <w:right w:val="single" w:color="auto" w:sz="4" w:space="0"/>
            </w:tcBorders>
            <w:shd w:val="clear" w:color="auto" w:fill="auto"/>
            <w:noWrap/>
            <w:vAlign w:val="bottom"/>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25482,1</w:t>
            </w:r>
          </w:p>
        </w:tc>
        <w:tc>
          <w:tcPr>
            <w:tcW w:w="1990" w:type="dxa"/>
            <w:gridSpan w:val="2"/>
            <w:tcBorders>
              <w:top w:val="single" w:color="auto" w:sz="4" w:space="0"/>
              <w:left w:val="nil"/>
              <w:bottom w:val="single" w:color="auto" w:sz="4" w:space="0"/>
              <w:right w:val="single" w:color="auto" w:sz="4" w:space="0"/>
            </w:tcBorders>
            <w:shd w:val="clear" w:color="auto" w:fill="auto"/>
            <w:vAlign w:val="center"/>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23602,76</w:t>
            </w:r>
          </w:p>
        </w:tc>
      </w:tr>
      <w:tr>
        <w:tblPrEx>
          <w:tblLayout w:type="fixed"/>
          <w:tblCellMar>
            <w:top w:w="0" w:type="dxa"/>
            <w:left w:w="70" w:type="dxa"/>
            <w:bottom w:w="0" w:type="dxa"/>
            <w:right w:w="70" w:type="dxa"/>
          </w:tblCellMar>
        </w:tblPrEx>
        <w:trPr>
          <w:trHeight w:val="297" w:hRule="atLeast"/>
        </w:trPr>
        <w:tc>
          <w:tcPr>
            <w:tcW w:w="1996" w:type="dxa"/>
            <w:gridSpan w:val="2"/>
            <w:vMerge w:val="restart"/>
            <w:tcBorders>
              <w:top w:val="single" w:color="auto" w:sz="4" w:space="0"/>
              <w:left w:val="single" w:color="auto" w:sz="4" w:space="0"/>
              <w:bottom w:val="single" w:color="auto" w:sz="4" w:space="0"/>
              <w:right w:val="single" w:color="auto" w:sz="4" w:space="0"/>
            </w:tcBorders>
            <w:shd w:val="clear" w:color="000000" w:fill="E7E6E6"/>
            <w:noWrap/>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Condiciones de la Contratación</w:t>
            </w:r>
          </w:p>
        </w:tc>
        <w:tc>
          <w:tcPr>
            <w:tcW w:w="1383" w:type="dxa"/>
            <w:gridSpan w:val="2"/>
            <w:tcBorders>
              <w:top w:val="single" w:color="auto" w:sz="4" w:space="0"/>
              <w:left w:val="nil"/>
              <w:bottom w:val="single" w:color="auto" w:sz="4" w:space="0"/>
              <w:right w:val="single" w:color="auto" w:sz="4" w:space="0"/>
            </w:tcBorders>
            <w:shd w:val="clear" w:color="auto" w:fill="auto"/>
            <w:noWrap/>
            <w:vAlign w:val="center"/>
          </w:tcPr>
          <w:p>
            <w:pP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 xml:space="preserve">Forma de pago </w:t>
            </w: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noWrap/>
            <w:vAlign w:val="center"/>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SUBTOTAL</w:t>
            </w: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23602,76</w:t>
            </w:r>
          </w:p>
        </w:tc>
      </w:tr>
      <w:tr>
        <w:tblPrEx>
          <w:tblLayout w:type="fixed"/>
          <w:tblCellMar>
            <w:top w:w="0" w:type="dxa"/>
            <w:left w:w="70" w:type="dxa"/>
            <w:bottom w:w="0" w:type="dxa"/>
            <w:right w:w="70" w:type="dxa"/>
          </w:tblCellMar>
        </w:tblPrEx>
        <w:trPr>
          <w:trHeight w:val="274" w:hRule="atLeast"/>
        </w:trPr>
        <w:tc>
          <w:tcPr>
            <w:tcW w:w="1996"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383" w:type="dxa"/>
            <w:gridSpan w:val="2"/>
            <w:tcBorders>
              <w:top w:val="single" w:color="auto" w:sz="4" w:space="0"/>
              <w:left w:val="nil"/>
              <w:bottom w:val="single" w:color="auto" w:sz="4" w:space="0"/>
              <w:right w:val="single" w:color="auto" w:sz="4" w:space="0"/>
            </w:tcBorders>
            <w:shd w:val="clear" w:color="auto" w:fill="auto"/>
            <w:noWrap/>
            <w:vAlign w:val="center"/>
          </w:tcPr>
          <w:p>
            <w:pP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Validez de la oferta</w:t>
            </w: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898" w:type="dxa"/>
            <w:tcBorders>
              <w:top w:val="nil"/>
              <w:left w:val="nil"/>
              <w:bottom w:val="single" w:color="auto" w:sz="4" w:space="0"/>
              <w:right w:val="single" w:color="auto" w:sz="4" w:space="0"/>
            </w:tcBorders>
            <w:shd w:val="clear" w:color="auto" w:fill="auto"/>
            <w:noWrap/>
            <w:vAlign w:val="center"/>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12 % IVA</w:t>
            </w:r>
          </w:p>
        </w:tc>
        <w:tc>
          <w:tcPr>
            <w:tcW w:w="1092" w:type="dxa"/>
            <w:tcBorders>
              <w:top w:val="nil"/>
              <w:left w:val="nil"/>
              <w:bottom w:val="single" w:color="auto" w:sz="4" w:space="0"/>
              <w:right w:val="single" w:color="auto" w:sz="4" w:space="0"/>
            </w:tcBorders>
            <w:shd w:val="clear" w:color="auto" w:fill="auto"/>
            <w:vAlign w:val="center"/>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2832,3312</w:t>
            </w:r>
          </w:p>
        </w:tc>
      </w:tr>
      <w:tr>
        <w:tblPrEx>
          <w:tblLayout w:type="fixed"/>
          <w:tblCellMar>
            <w:top w:w="0" w:type="dxa"/>
            <w:left w:w="70" w:type="dxa"/>
            <w:bottom w:w="0" w:type="dxa"/>
            <w:right w:w="70" w:type="dxa"/>
          </w:tblCellMar>
        </w:tblPrEx>
        <w:trPr>
          <w:trHeight w:val="274" w:hRule="atLeast"/>
        </w:trPr>
        <w:tc>
          <w:tcPr>
            <w:tcW w:w="1996"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383" w:type="dxa"/>
            <w:gridSpan w:val="2"/>
            <w:tcBorders>
              <w:top w:val="single" w:color="auto" w:sz="4" w:space="0"/>
              <w:left w:val="nil"/>
              <w:bottom w:val="single" w:color="auto" w:sz="4" w:space="0"/>
              <w:right w:val="single" w:color="auto" w:sz="4" w:space="0"/>
            </w:tcBorders>
            <w:shd w:val="clear" w:color="auto" w:fill="auto"/>
            <w:noWrap/>
            <w:vAlign w:val="center"/>
          </w:tcPr>
          <w:p>
            <w:pP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Tiempo de entrega</w:t>
            </w: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898"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TOTAL</w:t>
            </w:r>
          </w:p>
        </w:tc>
        <w:tc>
          <w:tcPr>
            <w:tcW w:w="1092" w:type="dxa"/>
            <w:vMerge w:val="restart"/>
            <w:tcBorders>
              <w:top w:val="nil"/>
              <w:left w:val="single" w:color="auto" w:sz="4" w:space="0"/>
              <w:bottom w:val="single" w:color="auto" w:sz="4" w:space="0"/>
              <w:right w:val="single" w:color="auto" w:sz="4" w:space="0"/>
            </w:tcBorders>
            <w:shd w:val="clear" w:color="auto" w:fill="auto"/>
            <w:noWrap/>
            <w:vAlign w:val="center"/>
          </w:tcPr>
          <w:p>
            <w:pPr>
              <w:jc w:val="right"/>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26435,09</w:t>
            </w:r>
          </w:p>
        </w:tc>
      </w:tr>
      <w:tr>
        <w:tblPrEx>
          <w:tblLayout w:type="fixed"/>
        </w:tblPrEx>
        <w:trPr>
          <w:trHeight w:val="274" w:hRule="atLeast"/>
        </w:trPr>
        <w:tc>
          <w:tcPr>
            <w:tcW w:w="1996"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383" w:type="dxa"/>
            <w:gridSpan w:val="2"/>
            <w:tcBorders>
              <w:top w:val="single" w:color="auto" w:sz="4" w:space="0"/>
              <w:left w:val="nil"/>
              <w:bottom w:val="single" w:color="auto" w:sz="4" w:space="0"/>
              <w:right w:val="single" w:color="auto" w:sz="4" w:space="0"/>
            </w:tcBorders>
            <w:shd w:val="clear" w:color="auto" w:fill="auto"/>
            <w:noWrap/>
            <w:vAlign w:val="center"/>
          </w:tcPr>
          <w:p>
            <w:pP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Garantía</w:t>
            </w: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898"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092"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1996"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383" w:type="dxa"/>
            <w:gridSpan w:val="2"/>
            <w:tcBorders>
              <w:top w:val="single" w:color="auto" w:sz="4" w:space="0"/>
              <w:left w:val="nil"/>
              <w:bottom w:val="single" w:color="auto" w:sz="4" w:space="0"/>
              <w:right w:val="single" w:color="auto" w:sz="4" w:space="0"/>
            </w:tcBorders>
            <w:shd w:val="clear" w:color="auto" w:fill="auto"/>
            <w:noWrap/>
            <w:vAlign w:val="center"/>
          </w:tcPr>
          <w:p>
            <w:pP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Forma de entrega</w:t>
            </w: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1236" w:type="dxa"/>
            <w:gridSpan w:val="2"/>
            <w:tcBorders>
              <w:top w:val="single" w:color="auto" w:sz="4" w:space="0"/>
              <w:left w:val="nil"/>
              <w:bottom w:val="single" w:color="auto" w:sz="4" w:space="0"/>
              <w:right w:val="single" w:color="auto" w:sz="4" w:space="0"/>
            </w:tcBorders>
            <w:shd w:val="clear" w:color="auto" w:fill="auto"/>
            <w:noWrap/>
            <w:vAlign w:val="center"/>
          </w:tcPr>
          <w:p>
            <w:pPr>
              <w:jc w:val="center"/>
              <w:rPr>
                <w:rFonts w:ascii="Calibri" w:hAnsi="Calibri" w:eastAsia="Times New Roman" w:cs="Calibri"/>
                <w:color w:val="000000"/>
                <w:sz w:val="14"/>
                <w:szCs w:val="14"/>
                <w:lang w:val="es-EC" w:eastAsia="es-EC"/>
              </w:rPr>
            </w:pPr>
          </w:p>
        </w:tc>
        <w:tc>
          <w:tcPr>
            <w:tcW w:w="898"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c>
          <w:tcPr>
            <w:tcW w:w="1092" w:type="dxa"/>
            <w:vMerge w:val="continue"/>
            <w:tcBorders>
              <w:top w:val="nil"/>
              <w:left w:val="single" w:color="auto" w:sz="4" w:space="0"/>
              <w:bottom w:val="single" w:color="auto" w:sz="4" w:space="0"/>
              <w:right w:val="single" w:color="auto" w:sz="4" w:space="0"/>
            </w:tcBorders>
            <w:vAlign w:val="center"/>
          </w:tcPr>
          <w:p>
            <w:pPr>
              <w:rPr>
                <w:rFonts w:ascii="Calibri" w:hAnsi="Calibri" w:eastAsia="Times New Roman" w:cs="Calibri"/>
                <w:b/>
                <w:bCs/>
                <w:color w:val="000000"/>
                <w:sz w:val="14"/>
                <w:szCs w:val="14"/>
                <w:lang w:val="es-EC" w:eastAsia="es-EC"/>
              </w:rPr>
            </w:pPr>
          </w:p>
        </w:tc>
      </w:tr>
      <w:tr>
        <w:tblPrEx>
          <w:tblLayout w:type="fixed"/>
          <w:tblCellMar>
            <w:top w:w="0" w:type="dxa"/>
            <w:left w:w="70" w:type="dxa"/>
            <w:bottom w:w="0" w:type="dxa"/>
            <w:right w:w="70" w:type="dxa"/>
          </w:tblCellMar>
        </w:tblPrEx>
        <w:trPr>
          <w:trHeight w:val="274" w:hRule="atLeast"/>
        </w:trPr>
        <w:tc>
          <w:tcPr>
            <w:tcW w:w="9077" w:type="dxa"/>
            <w:gridSpan w:val="12"/>
            <w:tcBorders>
              <w:top w:val="single" w:color="auto" w:sz="4" w:space="0"/>
              <w:left w:val="single" w:color="auto" w:sz="4" w:space="0"/>
              <w:bottom w:val="single" w:color="auto" w:sz="4" w:space="0"/>
              <w:right w:val="single" w:color="auto" w:sz="4" w:space="0"/>
            </w:tcBorders>
            <w:shd w:val="clear" w:color="000000" w:fill="BEBEBE"/>
            <w:vAlign w:val="center"/>
          </w:tcPr>
          <w:p>
            <w:pPr>
              <w:jc w:val="center"/>
              <w:rPr>
                <w:rFonts w:ascii="Calibri" w:hAnsi="Calibri" w:eastAsia="Times New Roman" w:cs="Calibri"/>
                <w:b/>
                <w:bCs/>
                <w:color w:val="000000"/>
                <w:sz w:val="14"/>
                <w:szCs w:val="14"/>
                <w:lang w:val="es-EC" w:eastAsia="es-EC"/>
              </w:rPr>
            </w:pPr>
            <w:r>
              <w:rPr>
                <w:rFonts w:ascii="Calibri" w:hAnsi="Calibri" w:eastAsia="Times New Roman" w:cs="Calibri"/>
                <w:b/>
                <w:bCs/>
                <w:color w:val="000000"/>
                <w:sz w:val="14"/>
                <w:szCs w:val="14"/>
                <w:lang w:val="es-EC" w:eastAsia="es-EC"/>
              </w:rPr>
              <w:t>Son: Veinte y tres mil seiscientos dos con76/100 Dólares de los Estados Unidos de América, más IVA.</w:t>
            </w:r>
          </w:p>
        </w:tc>
      </w:tr>
    </w:tbl>
    <w:p>
      <w:pPr>
        <w:spacing w:before="4" w:line="120" w:lineRule="exact"/>
        <w:rPr>
          <w:rFonts w:ascii="Times New Roman" w:hAnsi="Times New Roman" w:eastAsia="Times New Roman" w:cs="Times New Roman"/>
          <w:kern w:val="1"/>
          <w:sz w:val="20"/>
          <w:szCs w:val="20"/>
          <w:lang w:eastAsia="es-ES"/>
        </w:rPr>
      </w:pPr>
    </w:p>
    <w:tbl>
      <w:tblPr>
        <w:tblStyle w:val="7"/>
        <w:tblW w:w="9274" w:type="dxa"/>
        <w:tblInd w:w="0" w:type="dxa"/>
        <w:tblLayout w:type="fixed"/>
        <w:tblCellMar>
          <w:top w:w="0" w:type="dxa"/>
          <w:left w:w="108" w:type="dxa"/>
          <w:bottom w:w="0" w:type="dxa"/>
          <w:right w:w="108" w:type="dxa"/>
        </w:tblCellMar>
      </w:tblPr>
      <w:tblGrid>
        <w:gridCol w:w="2022"/>
        <w:gridCol w:w="7252"/>
      </w:tblGrid>
      <w:tr>
        <w:tblPrEx>
          <w:tblLayout w:type="fixed"/>
          <w:tblCellMar>
            <w:top w:w="0" w:type="dxa"/>
            <w:left w:w="108" w:type="dxa"/>
            <w:bottom w:w="0" w:type="dxa"/>
            <w:right w:w="108" w:type="dxa"/>
          </w:tblCellMar>
        </w:tblPrEx>
        <w:trPr>
          <w:trHeight w:val="2299" w:hRule="exact"/>
        </w:trPr>
        <w:tc>
          <w:tcPr>
            <w:tcW w:w="9274" w:type="dxa"/>
            <w:gridSpan w:val="2"/>
            <w:tcBorders>
              <w:top w:val="single" w:color="000000" w:sz="4" w:space="0"/>
              <w:left w:val="single" w:color="000000" w:sz="4" w:space="0"/>
              <w:bottom w:val="single" w:color="000000" w:sz="4" w:space="0"/>
              <w:right w:val="single" w:color="000000" w:sz="4" w:space="0"/>
            </w:tcBorders>
            <w:shd w:val="clear" w:color="auto" w:fill="E7E6E6" w:themeFill="background2"/>
          </w:tcPr>
          <w:p>
            <w:pPr>
              <w:pStyle w:val="90"/>
              <w:spacing w:before="24"/>
              <w:ind w:right="5"/>
              <w:jc w:val="center"/>
              <w:rPr>
                <w:rFonts w:ascii="Times New Roman" w:hAnsi="Times New Roman" w:eastAsia="Times New Roman" w:cs="Times New Roman"/>
                <w:b/>
                <w:kern w:val="1"/>
                <w:sz w:val="20"/>
                <w:szCs w:val="20"/>
                <w:lang w:eastAsia="es-ES"/>
              </w:rPr>
            </w:pPr>
            <w:bookmarkStart w:id="2" w:name="_Hlk35512545"/>
            <w:r>
              <w:rPr>
                <w:rFonts w:ascii="Times New Roman" w:hAnsi="Times New Roman" w:eastAsia="Times New Roman" w:cs="Times New Roman"/>
                <w:b/>
                <w:kern w:val="1"/>
                <w:sz w:val="20"/>
                <w:szCs w:val="20"/>
                <w:lang w:eastAsia="es-ES"/>
              </w:rPr>
              <w:t>JUSTIFICACIÓN DETERMINACION DEL PRESUPUESTO REFEENCIAL</w:t>
            </w:r>
          </w:p>
          <w:p>
            <w:pPr>
              <w:pStyle w:val="90"/>
              <w:spacing w:before="24"/>
              <w:ind w:right="5"/>
              <w:jc w:val="both"/>
              <w:rPr>
                <w:rFonts w:ascii="Times New Roman" w:hAnsi="Times New Roman" w:eastAsia="Times New Roman" w:cs="Times New Roman"/>
                <w:b/>
                <w:kern w:val="1"/>
                <w:sz w:val="20"/>
                <w:szCs w:val="20"/>
                <w:lang w:val="es-EC" w:eastAsia="es-ES"/>
              </w:rPr>
            </w:pPr>
            <w:r>
              <w:rPr>
                <w:rFonts w:ascii="Times New Roman" w:hAnsi="Times New Roman" w:eastAsia="Times New Roman" w:cs="Times New Roman"/>
                <w:kern w:val="1"/>
                <w:sz w:val="20"/>
                <w:szCs w:val="20"/>
                <w:lang w:eastAsia="es-ES"/>
              </w:rPr>
              <w:t>El presupuesto referencial se ha obtenido analizando y considerando las cinco disposiciones legales señaladas por el Servicio Nacional de Contratación Pública SERCOP y lo señalado en el Art. 40 de Ley Orgánica de la Contraloría General del Estado en el que se determina: “Las autoridades, dignatarios, funcionarios y demás servidores de las instituciones del Estado, actuarán con la diligencia y empeño que emplean generalmente en la administración de sus propios negocios y actividades, caso contrario responderán, por sus acciones u omisiones, de conformidad con lo previsto en esta ley”; por lo que para el presente proceso de contratación  el presupuesto referencial es el siguiente:</w:t>
            </w:r>
          </w:p>
        </w:tc>
      </w:tr>
      <w:tr>
        <w:tblPrEx>
          <w:tblLayout w:type="fixed"/>
          <w:tblCellMar>
            <w:top w:w="0" w:type="dxa"/>
            <w:left w:w="108" w:type="dxa"/>
            <w:bottom w:w="0" w:type="dxa"/>
            <w:right w:w="108" w:type="dxa"/>
          </w:tblCellMar>
        </w:tblPrEx>
        <w:trPr>
          <w:trHeight w:val="2980" w:hRule="exact"/>
        </w:trPr>
        <w:tc>
          <w:tcPr>
            <w:tcW w:w="2022" w:type="dxa"/>
            <w:tcBorders>
              <w:top w:val="single" w:color="000000" w:sz="4" w:space="0"/>
              <w:left w:val="single" w:color="000000" w:sz="4" w:space="0"/>
              <w:bottom w:val="single" w:color="000000" w:sz="4" w:space="0"/>
              <w:right w:val="single" w:color="000000" w:sz="4" w:space="0"/>
            </w:tcBorders>
          </w:tcPr>
          <w:p>
            <w:pPr>
              <w:pStyle w:val="90"/>
              <w:spacing w:before="1" w:line="160" w:lineRule="exact"/>
              <w:rPr>
                <w:rFonts w:ascii="Times New Roman" w:hAnsi="Times New Roman" w:eastAsia="Times New Roman" w:cs="Times New Roman"/>
                <w:kern w:val="1"/>
                <w:sz w:val="20"/>
                <w:szCs w:val="20"/>
                <w:lang w:eastAsia="es-ES"/>
              </w:rPr>
            </w:pPr>
          </w:p>
          <w:p>
            <w:pPr>
              <w:pStyle w:val="90"/>
              <w:spacing w:before="55"/>
              <w:ind w:left="553"/>
              <w:jc w:val="center"/>
              <w:rPr>
                <w:rFonts w:ascii="Times New Roman" w:hAnsi="Times New Roman" w:eastAsia="Times New Roman" w:cs="Times New Roman"/>
                <w:b/>
                <w:kern w:val="1"/>
                <w:sz w:val="20"/>
                <w:szCs w:val="20"/>
                <w:lang w:eastAsia="es-ES"/>
              </w:rPr>
            </w:pPr>
            <w:r>
              <w:rPr>
                <w:rFonts w:ascii="Times New Roman" w:hAnsi="Times New Roman" w:eastAsia="Times New Roman" w:cs="Times New Roman"/>
                <w:b/>
                <w:kern w:val="1"/>
                <w:sz w:val="20"/>
                <w:szCs w:val="20"/>
                <w:lang w:eastAsia="es-ES"/>
              </w:rPr>
              <w:t>VALOR TOTAL EN LETRAS</w:t>
            </w:r>
          </w:p>
          <w:p>
            <w:pPr>
              <w:pStyle w:val="90"/>
              <w:spacing w:before="55"/>
              <w:ind w:left="553"/>
              <w:jc w:val="center"/>
              <w:rPr>
                <w:rFonts w:ascii="Times New Roman" w:hAnsi="Times New Roman" w:eastAsia="Times New Roman" w:cs="Times New Roman"/>
                <w:b/>
                <w:kern w:val="1"/>
                <w:sz w:val="20"/>
                <w:szCs w:val="20"/>
                <w:lang w:eastAsia="es-ES"/>
              </w:rPr>
            </w:pPr>
            <w:r>
              <w:rPr>
                <w:rFonts w:ascii="Times New Roman" w:hAnsi="Times New Roman" w:eastAsia="Times New Roman" w:cs="Times New Roman"/>
                <w:b/>
                <w:kern w:val="1"/>
                <w:sz w:val="20"/>
                <w:szCs w:val="20"/>
                <w:lang w:eastAsia="es-ES"/>
              </w:rPr>
              <w:t>Sin IVA</w:t>
            </w:r>
          </w:p>
          <w:p>
            <w:pPr>
              <w:pStyle w:val="90"/>
              <w:ind w:left="116"/>
              <w:jc w:val="right"/>
              <w:rPr>
                <w:rFonts w:ascii="Times New Roman" w:hAnsi="Times New Roman" w:eastAsia="Times New Roman" w:cs="Times New Roman"/>
                <w:b/>
                <w:kern w:val="1"/>
                <w:sz w:val="20"/>
                <w:szCs w:val="20"/>
                <w:lang w:eastAsia="es-ES"/>
              </w:rPr>
            </w:pPr>
          </w:p>
          <w:p>
            <w:pPr>
              <w:pStyle w:val="90"/>
              <w:ind w:left="116"/>
              <w:jc w:val="right"/>
              <w:rPr>
                <w:rFonts w:ascii="Times New Roman" w:hAnsi="Times New Roman" w:eastAsia="Times New Roman" w:cs="Times New Roman"/>
                <w:b/>
                <w:kern w:val="1"/>
                <w:sz w:val="20"/>
                <w:szCs w:val="20"/>
                <w:lang w:eastAsia="es-ES"/>
              </w:rPr>
            </w:pPr>
            <w:r>
              <w:rPr>
                <w:rFonts w:ascii="Times New Roman" w:hAnsi="Times New Roman" w:eastAsia="Times New Roman" w:cs="Times New Roman"/>
                <w:b/>
                <w:kern w:val="1"/>
                <w:sz w:val="20"/>
                <w:szCs w:val="20"/>
                <w:lang w:eastAsia="es-ES"/>
              </w:rPr>
              <w:t xml:space="preserve">USD. 25,000.00 </w:t>
            </w:r>
          </w:p>
        </w:tc>
        <w:tc>
          <w:tcPr>
            <w:tcW w:w="7252" w:type="dxa"/>
            <w:tcBorders>
              <w:top w:val="single" w:color="000000" w:sz="4" w:space="0"/>
              <w:left w:val="single" w:color="000000" w:sz="4" w:space="0"/>
              <w:bottom w:val="single" w:color="000000" w:sz="4" w:space="0"/>
              <w:right w:val="single" w:color="000000" w:sz="4" w:space="0"/>
            </w:tcBorders>
          </w:tcPr>
          <w:p>
            <w:pPr>
              <w:pStyle w:val="90"/>
              <w:spacing w:line="267" w:lineRule="exact"/>
              <w:ind w:right="100"/>
              <w:jc w:val="both"/>
              <w:rPr>
                <w:rFonts w:ascii="Times New Roman" w:hAnsi="Times New Roman" w:eastAsia="Times New Roman" w:cs="Times New Roman"/>
                <w:kern w:val="1"/>
                <w:sz w:val="20"/>
                <w:szCs w:val="20"/>
                <w:lang w:eastAsia="es-ES"/>
              </w:rPr>
            </w:pPr>
          </w:p>
          <w:p>
            <w:pPr>
              <w:pStyle w:val="90"/>
              <w:spacing w:line="267" w:lineRule="exact"/>
              <w:ind w:right="100"/>
              <w:jc w:val="both"/>
              <w:rPr>
                <w:rFonts w:ascii="Times New Roman" w:hAnsi="Times New Roman" w:eastAsia="Times New Roman" w:cs="Times New Roman"/>
                <w:kern w:val="1"/>
                <w:sz w:val="20"/>
                <w:szCs w:val="20"/>
                <w:lang w:eastAsia="es-ES"/>
              </w:rPr>
            </w:pPr>
            <w:r>
              <w:rPr>
                <w:rFonts w:ascii="Times New Roman" w:hAnsi="Times New Roman" w:eastAsia="Times New Roman" w:cs="Times New Roman"/>
                <w:kern w:val="1"/>
                <w:sz w:val="20"/>
                <w:szCs w:val="20"/>
                <w:lang w:eastAsia="es-ES"/>
              </w:rPr>
              <w:t>VEINTE Y CINCO MIL CON 00/100 DÓLARES DE LOS ESTADOS UNIDOS DE NORTEAMÉRICA, más IVA.</w:t>
            </w:r>
          </w:p>
          <w:p>
            <w:pPr>
              <w:pStyle w:val="90"/>
              <w:ind w:right="107"/>
              <w:jc w:val="both"/>
              <w:rPr>
                <w:rFonts w:ascii="Times New Roman" w:hAnsi="Times New Roman" w:eastAsia="Times New Roman" w:cs="Times New Roman"/>
                <w:kern w:val="1"/>
                <w:sz w:val="20"/>
                <w:szCs w:val="20"/>
                <w:lang w:eastAsia="es-ES"/>
              </w:rPr>
            </w:pPr>
            <w:r>
              <w:rPr>
                <w:rFonts w:ascii="Times New Roman" w:hAnsi="Times New Roman" w:eastAsia="Times New Roman" w:cs="Times New Roman"/>
                <w:kern w:val="1"/>
                <w:sz w:val="20"/>
                <w:szCs w:val="20"/>
                <w:lang w:eastAsia="es-ES"/>
              </w:rPr>
              <w:t>La información que ha servido de base para determinar el presupuesto referencial, ha sido verificada por el área requirente; la veracidad de dicha información es responsabilidad de la misma y de quienes suscriben el presente documento.</w:t>
            </w:r>
          </w:p>
        </w:tc>
      </w:tr>
      <w:bookmarkEnd w:id="2"/>
    </w:tbl>
    <w:p>
      <w:pPr>
        <w:spacing w:line="200" w:lineRule="exact"/>
        <w:rPr>
          <w:rFonts w:ascii="Times New Roman" w:hAnsi="Times New Roman" w:eastAsia="Times New Roman" w:cs="Times New Roman"/>
          <w:kern w:val="1"/>
          <w:sz w:val="20"/>
          <w:szCs w:val="20"/>
          <w:lang w:eastAsia="es-ES"/>
        </w:rPr>
      </w:pPr>
    </w:p>
    <w:p>
      <w:pPr>
        <w:spacing w:line="200" w:lineRule="exact"/>
        <w:rPr>
          <w:lang w:val="es-EC"/>
        </w:rPr>
      </w:pPr>
    </w:p>
    <w:p>
      <w:pPr>
        <w:tabs>
          <w:tab w:val="left" w:pos="180"/>
        </w:tabs>
        <w:jc w:val="both"/>
        <w:rPr>
          <w:rFonts w:ascii="Times New Roman" w:hAnsi="Times New Roman" w:eastAsia="Times New Roman" w:cs="Times New Roman"/>
          <w:kern w:val="1"/>
          <w:sz w:val="20"/>
          <w:szCs w:val="20"/>
          <w:lang w:eastAsia="es-ES"/>
        </w:rPr>
      </w:pPr>
      <w:bookmarkStart w:id="3" w:name="_Hlk35512584"/>
      <w:r>
        <w:rPr>
          <w:rFonts w:ascii="Times New Roman" w:hAnsi="Times New Roman" w:eastAsia="Times New Roman" w:cs="Times New Roman"/>
          <w:kern w:val="1"/>
          <w:sz w:val="20"/>
          <w:szCs w:val="20"/>
          <w:lang w:eastAsia="es-ES"/>
        </w:rPr>
        <w:t>Adjuntar los anexos utilizados para el Cálculo Determinación Presupuesto Referencial. Obligatorio.</w:t>
      </w:r>
    </w:p>
    <w:p>
      <w:pPr>
        <w:tabs>
          <w:tab w:val="left" w:pos="180"/>
        </w:tabs>
        <w:jc w:val="both"/>
        <w:rPr>
          <w:rFonts w:ascii="Times New Roman" w:hAnsi="Times New Roman" w:eastAsia="Times New Roman" w:cs="Times New Roman"/>
          <w:kern w:val="1"/>
          <w:sz w:val="20"/>
          <w:szCs w:val="20"/>
          <w:lang w:eastAsia="es-ES"/>
        </w:rPr>
      </w:pPr>
    </w:p>
    <w:p>
      <w:pPr>
        <w:tabs>
          <w:tab w:val="left" w:pos="180"/>
        </w:tabs>
        <w:jc w:val="both"/>
        <w:rPr>
          <w:rFonts w:ascii="Times New Roman" w:hAnsi="Times New Roman" w:eastAsia="Times New Roman" w:cs="Times New Roman"/>
          <w:kern w:val="1"/>
          <w:sz w:val="20"/>
          <w:szCs w:val="20"/>
          <w:lang w:eastAsia="es-ES"/>
        </w:rPr>
      </w:pPr>
      <w:r>
        <w:rPr>
          <w:rFonts w:ascii="Times New Roman" w:hAnsi="Times New Roman" w:eastAsia="Times New Roman" w:cs="Times New Roman"/>
          <w:kern w:val="1"/>
          <w:sz w:val="20"/>
          <w:szCs w:val="20"/>
          <w:lang w:eastAsia="es-ES"/>
        </w:rPr>
        <w:t>Los valores a considerar son precios unitarios sin IVA.</w:t>
      </w:r>
    </w:p>
    <w:p>
      <w:pPr>
        <w:tabs>
          <w:tab w:val="left" w:pos="180"/>
        </w:tabs>
        <w:jc w:val="both"/>
        <w:rPr>
          <w:rFonts w:ascii="Times New Roman" w:hAnsi="Times New Roman" w:eastAsia="Times New Roman" w:cs="Times New Roman"/>
          <w:kern w:val="1"/>
          <w:sz w:val="20"/>
          <w:szCs w:val="20"/>
          <w:lang w:eastAsia="es-ES"/>
        </w:rPr>
      </w:pPr>
    </w:p>
    <w:p>
      <w:pPr>
        <w:tabs>
          <w:tab w:val="left" w:pos="180"/>
        </w:tabs>
        <w:jc w:val="both"/>
        <w:rPr>
          <w:rFonts w:ascii="Times New Roman" w:hAnsi="Times New Roman" w:eastAsia="Times New Roman" w:cs="Times New Roman"/>
          <w:kern w:val="1"/>
          <w:sz w:val="20"/>
          <w:szCs w:val="20"/>
          <w:lang w:eastAsia="es-ES"/>
        </w:rPr>
      </w:pPr>
      <w:r>
        <w:rPr>
          <w:rFonts w:ascii="Times New Roman" w:hAnsi="Times New Roman" w:eastAsia="Times New Roman" w:cs="Times New Roman"/>
          <w:kern w:val="1"/>
          <w:sz w:val="20"/>
          <w:szCs w:val="20"/>
          <w:lang w:eastAsia="es-ES"/>
        </w:rPr>
        <w:t xml:space="preserve">La Universidad Nacional de Loja a través de funcionario encargado del proceso obligatoriamente deberá publicar junto con el pliego respectivo, el estudio realizado para la determinación del presupuesto referencial con los sustentos del caso, de conformidad con la normativa expedida por el Servicio Nacional de Contratación Pública, siendo necesario que el área requirente presente los sustentos de respaldo utilizados para su cálculo, excepto en los procedimientos que la misma normativa lo prohíbe publicar.  </w:t>
      </w:r>
    </w:p>
    <w:bookmarkEnd w:id="3"/>
    <w:p>
      <w:pPr>
        <w:tabs>
          <w:tab w:val="left" w:pos="180"/>
        </w:tabs>
        <w:jc w:val="both"/>
        <w:rPr>
          <w:rFonts w:ascii="Arial" w:hAnsi="Arial" w:cs="Arial" w:eastAsiaTheme="minorEastAsia"/>
          <w:i/>
          <w:color w:val="808080"/>
          <w:sz w:val="16"/>
          <w:szCs w:val="16"/>
          <w:lang w:val="es-EC" w:eastAsia="es-EC"/>
        </w:rPr>
      </w:pPr>
    </w:p>
    <w:tbl>
      <w:tblPr>
        <w:tblStyle w:val="7"/>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4662"/>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1950" w:type="dxa"/>
            <w:shd w:val="clear" w:color="auto" w:fill="D6DCE4" w:themeFill="text2" w:themeFillTint="33"/>
          </w:tcPr>
          <w:p>
            <w:pPr>
              <w:spacing w:line="276" w:lineRule="auto"/>
              <w:jc w:val="center"/>
              <w:rPr>
                <w:rFonts w:ascii="Times New Roman" w:hAnsi="Times New Roman" w:eastAsia="Times" w:cs="Times New Roman"/>
                <w:b/>
                <w:sz w:val="20"/>
                <w:szCs w:val="20"/>
                <w:lang w:val="es-ES"/>
              </w:rPr>
            </w:pPr>
            <w:bookmarkStart w:id="4" w:name="_Hlk524097605"/>
            <w:r>
              <w:rPr>
                <w:rFonts w:ascii="Times New Roman" w:hAnsi="Times New Roman" w:eastAsia="Times" w:cs="Times New Roman"/>
                <w:b/>
                <w:sz w:val="20"/>
                <w:szCs w:val="20"/>
                <w:lang w:val="es-ES"/>
              </w:rPr>
              <w:t>Acción</w:t>
            </w:r>
          </w:p>
        </w:tc>
        <w:tc>
          <w:tcPr>
            <w:tcW w:w="4662" w:type="dxa"/>
            <w:shd w:val="clear" w:color="auto" w:fill="D6DCE4" w:themeFill="text2" w:themeFillTint="33"/>
          </w:tcPr>
          <w:p>
            <w:pPr>
              <w:spacing w:line="276" w:lineRule="auto"/>
              <w:jc w:val="center"/>
              <w:rPr>
                <w:rFonts w:ascii="Times New Roman" w:hAnsi="Times New Roman" w:eastAsia="Times" w:cs="Times New Roman"/>
                <w:b/>
                <w:sz w:val="20"/>
                <w:szCs w:val="20"/>
                <w:lang w:val="es-ES"/>
              </w:rPr>
            </w:pPr>
            <w:r>
              <w:rPr>
                <w:rFonts w:ascii="Times New Roman" w:hAnsi="Times New Roman" w:eastAsia="Times" w:cs="Times New Roman"/>
                <w:b/>
                <w:sz w:val="20"/>
                <w:szCs w:val="20"/>
                <w:lang w:val="es-ES"/>
              </w:rPr>
              <w:t>Funcionario</w:t>
            </w:r>
          </w:p>
        </w:tc>
        <w:tc>
          <w:tcPr>
            <w:tcW w:w="2559" w:type="dxa"/>
            <w:shd w:val="clear" w:color="auto" w:fill="D6DCE4" w:themeFill="text2" w:themeFillTint="33"/>
          </w:tcPr>
          <w:p>
            <w:pPr>
              <w:spacing w:line="276" w:lineRule="auto"/>
              <w:jc w:val="center"/>
              <w:rPr>
                <w:rFonts w:ascii="Times New Roman" w:hAnsi="Times New Roman" w:eastAsia="Times" w:cs="Times New Roman"/>
                <w:b/>
                <w:sz w:val="20"/>
                <w:szCs w:val="20"/>
                <w:lang w:val="es-ES"/>
              </w:rPr>
            </w:pPr>
            <w:r>
              <w:rPr>
                <w:rFonts w:ascii="Times New Roman" w:hAnsi="Times New Roman" w:eastAsia="Times" w:cs="Times New Roman"/>
                <w:b/>
                <w:sz w:val="20"/>
                <w:szCs w:val="20"/>
                <w:lang w:val="es-ES"/>
              </w:rPr>
              <w:t>Firmas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trPr>
        <w:tc>
          <w:tcPr>
            <w:tcW w:w="1950" w:type="dxa"/>
          </w:tcPr>
          <w:p>
            <w:pPr>
              <w:spacing w:line="276" w:lineRule="auto"/>
              <w:jc w:val="both"/>
              <w:rPr>
                <w:rFonts w:ascii="Times New Roman" w:hAnsi="Times New Roman" w:eastAsia="Times" w:cs="Times New Roman"/>
                <w:b/>
                <w:sz w:val="20"/>
                <w:szCs w:val="20"/>
                <w:lang w:val="es-ES"/>
              </w:rPr>
            </w:pPr>
          </w:p>
          <w:p>
            <w:pPr>
              <w:spacing w:line="276" w:lineRule="auto"/>
              <w:jc w:val="both"/>
              <w:rPr>
                <w:rFonts w:ascii="Times New Roman" w:hAnsi="Times New Roman" w:eastAsia="Times" w:cs="Times New Roman"/>
                <w:b/>
                <w:sz w:val="20"/>
                <w:szCs w:val="20"/>
                <w:lang w:val="es-ES"/>
              </w:rPr>
            </w:pPr>
            <w:r>
              <w:rPr>
                <w:rFonts w:ascii="Times New Roman" w:hAnsi="Times New Roman" w:eastAsia="Times" w:cs="Times New Roman"/>
                <w:b/>
                <w:sz w:val="20"/>
                <w:szCs w:val="20"/>
                <w:lang w:val="es-ES"/>
              </w:rPr>
              <w:t>Elaborado por</w:t>
            </w:r>
          </w:p>
          <w:p>
            <w:pPr>
              <w:spacing w:line="276" w:lineRule="auto"/>
              <w:jc w:val="both"/>
              <w:rPr>
                <w:rFonts w:ascii="Times New Roman" w:hAnsi="Times New Roman" w:eastAsia="Times" w:cs="Times New Roman"/>
                <w:b/>
                <w:sz w:val="20"/>
                <w:szCs w:val="20"/>
                <w:lang w:val="es-ES"/>
              </w:rPr>
            </w:pPr>
          </w:p>
        </w:tc>
        <w:tc>
          <w:tcPr>
            <w:tcW w:w="4662" w:type="dxa"/>
          </w:tcPr>
          <w:p>
            <w:pPr>
              <w:spacing w:line="276" w:lineRule="auto"/>
              <w:jc w:val="both"/>
              <w:rPr>
                <w:rFonts w:ascii="Times New Roman" w:hAnsi="Times New Roman" w:eastAsia="Times" w:cs="Times New Roman"/>
                <w:sz w:val="20"/>
                <w:szCs w:val="20"/>
                <w:lang w:val="es-ES"/>
              </w:rPr>
            </w:pPr>
          </w:p>
        </w:tc>
        <w:tc>
          <w:tcPr>
            <w:tcW w:w="2559" w:type="dxa"/>
          </w:tcPr>
          <w:p>
            <w:pPr>
              <w:spacing w:line="276" w:lineRule="auto"/>
              <w:jc w:val="both"/>
              <w:rPr>
                <w:rFonts w:ascii="Times New Roman" w:hAnsi="Times New Roman" w:eastAsia="Times" w:cs="Times New Roman"/>
                <w:b/>
                <w:sz w:val="20"/>
                <w:szCs w:val="20"/>
                <w:lang w:val="es-E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3" w:hRule="atLeast"/>
        </w:trPr>
        <w:tc>
          <w:tcPr>
            <w:tcW w:w="1950" w:type="dxa"/>
          </w:tcPr>
          <w:p>
            <w:pPr>
              <w:spacing w:line="276" w:lineRule="auto"/>
              <w:jc w:val="both"/>
              <w:rPr>
                <w:rFonts w:ascii="Times New Roman" w:hAnsi="Times New Roman" w:eastAsia="Times" w:cs="Times New Roman"/>
                <w:b/>
                <w:sz w:val="20"/>
                <w:szCs w:val="20"/>
                <w:lang w:val="es-ES"/>
              </w:rPr>
            </w:pPr>
          </w:p>
          <w:p>
            <w:pPr>
              <w:spacing w:line="276" w:lineRule="auto"/>
              <w:jc w:val="both"/>
              <w:rPr>
                <w:rFonts w:ascii="Times New Roman" w:hAnsi="Times New Roman" w:eastAsia="Times" w:cs="Times New Roman"/>
                <w:b/>
                <w:sz w:val="20"/>
                <w:szCs w:val="20"/>
                <w:lang w:val="es-ES"/>
              </w:rPr>
            </w:pPr>
            <w:r>
              <w:rPr>
                <w:rFonts w:ascii="Times New Roman" w:hAnsi="Times New Roman" w:eastAsia="Times" w:cs="Times New Roman"/>
                <w:b/>
                <w:sz w:val="20"/>
                <w:szCs w:val="20"/>
                <w:lang w:val="es-ES"/>
              </w:rPr>
              <w:t>Revisado por</w:t>
            </w:r>
          </w:p>
          <w:p>
            <w:pPr>
              <w:spacing w:line="276" w:lineRule="auto"/>
              <w:jc w:val="both"/>
              <w:rPr>
                <w:rFonts w:ascii="Times New Roman" w:hAnsi="Times New Roman" w:eastAsia="Times" w:cs="Times New Roman"/>
                <w:b/>
                <w:sz w:val="20"/>
                <w:szCs w:val="20"/>
                <w:lang w:val="es-ES"/>
              </w:rPr>
            </w:pPr>
          </w:p>
        </w:tc>
        <w:tc>
          <w:tcPr>
            <w:tcW w:w="4662" w:type="dxa"/>
          </w:tcPr>
          <w:p>
            <w:pPr>
              <w:widowControl w:val="0"/>
              <w:spacing w:line="276" w:lineRule="auto"/>
              <w:jc w:val="both"/>
              <w:rPr>
                <w:rFonts w:ascii="Times New Roman" w:hAnsi="Times New Roman" w:eastAsia="Times" w:cs="Times New Roman"/>
                <w:b/>
                <w:sz w:val="20"/>
                <w:szCs w:val="20"/>
                <w:lang w:val="es-ES"/>
              </w:rPr>
            </w:pPr>
          </w:p>
        </w:tc>
        <w:tc>
          <w:tcPr>
            <w:tcW w:w="2559" w:type="dxa"/>
          </w:tcPr>
          <w:p>
            <w:pPr>
              <w:spacing w:line="276" w:lineRule="auto"/>
              <w:jc w:val="both"/>
              <w:rPr>
                <w:rFonts w:ascii="Times New Roman" w:hAnsi="Times New Roman" w:eastAsia="Times" w:cs="Times New Roman"/>
                <w:b/>
                <w:sz w:val="20"/>
                <w:szCs w:val="20"/>
                <w:lang w:val="es-E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4" w:hRule="atLeast"/>
        </w:trPr>
        <w:tc>
          <w:tcPr>
            <w:tcW w:w="1950" w:type="dxa"/>
          </w:tcPr>
          <w:p>
            <w:pPr>
              <w:spacing w:line="276" w:lineRule="auto"/>
              <w:jc w:val="both"/>
              <w:rPr>
                <w:rFonts w:ascii="Times New Roman" w:hAnsi="Times New Roman" w:eastAsia="Times" w:cs="Times New Roman"/>
                <w:b/>
                <w:sz w:val="20"/>
                <w:szCs w:val="20"/>
                <w:lang w:val="es-ES"/>
              </w:rPr>
            </w:pPr>
          </w:p>
          <w:p>
            <w:pPr>
              <w:spacing w:line="276" w:lineRule="auto"/>
              <w:jc w:val="both"/>
              <w:rPr>
                <w:rFonts w:ascii="Times New Roman" w:hAnsi="Times New Roman" w:eastAsia="Times" w:cs="Times New Roman"/>
                <w:b/>
                <w:sz w:val="20"/>
                <w:szCs w:val="20"/>
                <w:lang w:val="es-ES"/>
              </w:rPr>
            </w:pPr>
            <w:r>
              <w:rPr>
                <w:rFonts w:ascii="Times New Roman" w:hAnsi="Times New Roman" w:eastAsia="Times" w:cs="Times New Roman"/>
                <w:b/>
                <w:sz w:val="20"/>
                <w:szCs w:val="20"/>
                <w:lang w:val="es-ES"/>
              </w:rPr>
              <w:t>Aprobado por</w:t>
            </w:r>
          </w:p>
          <w:p>
            <w:pPr>
              <w:spacing w:line="276" w:lineRule="auto"/>
              <w:jc w:val="both"/>
              <w:rPr>
                <w:rFonts w:ascii="Times New Roman" w:hAnsi="Times New Roman" w:eastAsia="Times" w:cs="Times New Roman"/>
                <w:b/>
                <w:sz w:val="20"/>
                <w:szCs w:val="20"/>
                <w:lang w:val="es-ES"/>
              </w:rPr>
            </w:pPr>
          </w:p>
        </w:tc>
        <w:tc>
          <w:tcPr>
            <w:tcW w:w="4662" w:type="dxa"/>
          </w:tcPr>
          <w:p>
            <w:pPr>
              <w:spacing w:line="276" w:lineRule="auto"/>
              <w:jc w:val="both"/>
              <w:rPr>
                <w:rFonts w:ascii="Times New Roman" w:hAnsi="Times New Roman" w:eastAsia="Times" w:cs="Times New Roman"/>
                <w:b/>
                <w:sz w:val="20"/>
                <w:szCs w:val="20"/>
                <w:lang w:val="es-ES"/>
              </w:rPr>
            </w:pPr>
          </w:p>
        </w:tc>
        <w:tc>
          <w:tcPr>
            <w:tcW w:w="2559" w:type="dxa"/>
          </w:tcPr>
          <w:p>
            <w:pPr>
              <w:spacing w:line="276" w:lineRule="auto"/>
              <w:jc w:val="both"/>
              <w:rPr>
                <w:rFonts w:ascii="Times New Roman" w:hAnsi="Times New Roman" w:eastAsia="Times" w:cs="Times New Roman"/>
                <w:b/>
                <w:sz w:val="20"/>
                <w:szCs w:val="20"/>
                <w:lang w:val="es-ES"/>
              </w:rPr>
            </w:pPr>
          </w:p>
        </w:tc>
      </w:tr>
      <w:bookmarkEnd w:id="4"/>
    </w:tbl>
    <w:p>
      <w:pPr>
        <w:spacing w:line="276" w:lineRule="auto"/>
        <w:jc w:val="both"/>
        <w:rPr>
          <w:rFonts w:ascii="Times New Roman" w:hAnsi="Times New Roman" w:cs="Times New Roman"/>
          <w:sz w:val="20"/>
          <w:szCs w:val="20"/>
          <w:lang w:val="es-ES"/>
        </w:rPr>
      </w:pPr>
    </w:p>
    <w:p>
      <w:pPr>
        <w:rPr>
          <w:color w:val="5B9BD5" w:themeColor="accent1"/>
          <w:sz w:val="16"/>
          <w:szCs w:val="16"/>
          <w14:textFill>
            <w14:solidFill>
              <w14:schemeClr w14:val="accent1"/>
            </w14:solidFill>
          </w14:textFill>
        </w:rPr>
      </w:pPr>
      <w:bookmarkStart w:id="5" w:name="_Hlk35511145"/>
      <w:r>
        <w:rPr>
          <w:color w:val="5B9BD5" w:themeColor="accent1"/>
          <w:sz w:val="16"/>
          <w:szCs w:val="16"/>
          <w14:textFill>
            <w14:solidFill>
              <w14:schemeClr w14:val="accent1"/>
            </w14:solidFill>
          </w14:textFill>
        </w:rPr>
        <w:t>Versión 2020-UNL-1.0</w:t>
      </w:r>
    </w:p>
    <w:p>
      <w:pPr>
        <w:rPr>
          <w:b/>
          <w:color w:val="5B9BD5" w:themeColor="accent1"/>
          <w:sz w:val="16"/>
          <w:szCs w:val="16"/>
          <w14:textFill>
            <w14:solidFill>
              <w14:schemeClr w14:val="accent1"/>
            </w14:solidFill>
          </w14:textFill>
        </w:rPr>
      </w:pPr>
      <w:r>
        <w:rPr>
          <w:b/>
          <w:color w:val="5B9BD5" w:themeColor="accent1"/>
          <w:sz w:val="16"/>
          <w:szCs w:val="16"/>
          <w14:textFill>
            <w14:solidFill>
              <w14:schemeClr w14:val="accent1"/>
            </w14:solidFill>
          </w14:textFill>
        </w:rPr>
        <w:t>Elaborado por: Eco. Franklin David Camacho Calva. Mgs.</w:t>
      </w:r>
    </w:p>
    <w:p>
      <w:pPr>
        <w:rPr>
          <w:b/>
          <w:color w:val="5B9BD5" w:themeColor="accent1"/>
          <w:sz w:val="16"/>
          <w:szCs w:val="16"/>
          <w14:textFill>
            <w14:solidFill>
              <w14:schemeClr w14:val="accent1"/>
            </w14:solidFill>
          </w14:textFill>
        </w:rPr>
      </w:pPr>
      <w:r>
        <w:rPr>
          <w:b/>
          <w:color w:val="5B9BD5" w:themeColor="accent1"/>
          <w:sz w:val="16"/>
          <w:szCs w:val="16"/>
          <w14:textFill>
            <w14:solidFill>
              <w14:schemeClr w14:val="accent1"/>
            </w14:solidFill>
          </w14:textFill>
        </w:rPr>
        <w:t>Director de la Unidad de Contratación Pública. 2020-03-19</w:t>
      </w:r>
    </w:p>
    <w:p>
      <w:pPr>
        <w:rPr>
          <w:color w:val="5B9BD5" w:themeColor="accent1"/>
          <w:sz w:val="16"/>
          <w:szCs w:val="16"/>
          <w14:textFill>
            <w14:solidFill>
              <w14:schemeClr w14:val="accent1"/>
            </w14:solidFill>
          </w14:textFill>
        </w:rPr>
      </w:pPr>
    </w:p>
    <w:p>
      <w:pPr>
        <w:jc w:val="both"/>
        <w:rPr>
          <w:color w:val="5B9BD5" w:themeColor="accent1"/>
          <w:sz w:val="16"/>
          <w:szCs w:val="16"/>
          <w14:textFill>
            <w14:solidFill>
              <w14:schemeClr w14:val="accent1"/>
            </w14:solidFill>
          </w14:textFill>
        </w:rPr>
      </w:pPr>
      <w:r>
        <w:rPr>
          <w:color w:val="5B9BD5" w:themeColor="accent1"/>
          <w:sz w:val="16"/>
          <w:szCs w:val="16"/>
          <w14:textFill>
            <w14:solidFill>
              <w14:schemeClr w14:val="accent1"/>
            </w14:solidFill>
          </w14:textFill>
        </w:rPr>
        <w:t xml:space="preserve">El presente documento es un bosquejo general de las consideraciones generales y específicas tomando como base las especificaciones técnicas establecidas por cada una de las áreas requirentes, el mismo podrá estar sujeto a cambios, ajustes o modificaciones de acuerdo a las particularidades de cada proceso de contratación que la Universidad Nacional de Loja vaya a ejecutar o en su defecto a las actualizaciones y disposiciones que realiza el Servicio Nacional de Contratación Pública en torno a los procesos y procedimientos de contratación pública. </w:t>
      </w:r>
    </w:p>
    <w:p>
      <w:pPr>
        <w:rPr>
          <w:b/>
          <w:color w:val="5B9BD5" w:themeColor="accent1"/>
          <w:sz w:val="16"/>
          <w:szCs w:val="16"/>
          <w14:textFill>
            <w14:solidFill>
              <w14:schemeClr w14:val="accent1"/>
            </w14:solidFill>
          </w14:textFill>
        </w:rPr>
      </w:pPr>
    </w:p>
    <w:p>
      <w:pPr>
        <w:rPr>
          <w:rFonts w:ascii="Calibri" w:hAnsi="Calibri" w:eastAsia="Times New Roman" w:cs="Calibri"/>
          <w:lang w:eastAsia="es-EC"/>
        </w:rPr>
      </w:pPr>
      <w:r>
        <w:rPr>
          <w:b/>
          <w:color w:val="5B9BD5" w:themeColor="accent1"/>
          <w:sz w:val="16"/>
          <w:szCs w:val="16"/>
          <w14:textFill>
            <w14:solidFill>
              <w14:schemeClr w14:val="accent1"/>
            </w14:solidFill>
          </w14:textFill>
        </w:rPr>
        <w:t>Será de absoluta responsabilidad de la unidad requirente la elaboración del estudio previo o proyecto.</w:t>
      </w:r>
    </w:p>
    <w:bookmarkEnd w:id="5"/>
    <w:p>
      <w:pPr>
        <w:spacing w:line="276" w:lineRule="auto"/>
        <w:jc w:val="both"/>
        <w:rPr>
          <w:rFonts w:ascii="Times New Roman" w:hAnsi="Times New Roman" w:cs="Times New Roman"/>
          <w:sz w:val="20"/>
          <w:szCs w:val="20"/>
          <w:lang w:val="es-ES"/>
        </w:rPr>
      </w:pPr>
    </w:p>
    <w:sectPr>
      <w:headerReference r:id="rId3" w:type="default"/>
      <w:pgSz w:w="11900" w:h="16840"/>
      <w:pgMar w:top="1701" w:right="1134" w:bottom="1134" w:left="1701"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altName w:val="MT Extra"/>
    <w:panose1 w:val="05000000000000000000"/>
    <w:charset w:val="00"/>
    <w:family w:val="auto"/>
    <w:pitch w:val="default"/>
    <w:sig w:usb0="00000000" w:usb1="1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SimSun">
    <w:altName w:val="Droid Sans Fallback"/>
    <w:panose1 w:val="02010600030101010101"/>
    <w:charset w:val="86"/>
    <w:family w:val="auto"/>
    <w:pitch w:val="default"/>
    <w:sig w:usb0="00000000" w:usb1="00000000" w:usb2="00000016" w:usb3="00000000" w:csb0="00040001"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Unicode MS">
    <w:altName w:val="Times New Roman"/>
    <w:panose1 w:val="020B0604020202020204"/>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Times">
    <w:altName w:val="DejaVu Sans"/>
    <w:panose1 w:val="02020603060405020304"/>
    <w:charset w:val="00"/>
    <w:family w:val="roman"/>
    <w:pitch w:val="default"/>
    <w:sig w:usb0="00000000" w:usb1="00000000" w:usb2="00000000" w:usb3="00000000" w:csb0="00000093" w:csb1="00000000"/>
  </w:font>
  <w:font w:name="DejaVa Sans">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aakar">
    <w:panose1 w:val="02000600040000000000"/>
    <w:charset w:val="00"/>
    <w:family w:val="auto"/>
    <w:pitch w:val="default"/>
    <w:sig w:usb0="80040001" w:usb1="00002000" w:usb2="00000000" w:usb3="00000000" w:csb0="20000000" w:csb1="80000000"/>
  </w:font>
  <w:font w:name="DejaVu Sans">
    <w:panose1 w:val="020B0603030804020204"/>
    <w:charset w:val="00"/>
    <w:family w:val="auto"/>
    <w:pitch w:val="default"/>
    <w:sig w:usb0="E7006EFF" w:usb1="D200FDFF" w:usb2="0A246029" w:usb3="0400200C" w:csb0="600001FF" w:csb1="DFFF0000"/>
  </w:font>
  <w:font w:name="Droid Sans Fallback">
    <w:panose1 w:val="020B0502000000000001"/>
    <w:charset w:val="86"/>
    <w:family w:val="auto"/>
    <w:pitch w:val="default"/>
    <w:sig w:usb0="910002FF" w:usb1="2BDFFCFB" w:usb2="00000036" w:usb3="00000000" w:csb0="203F01FF" w:csb1="D7FF0000"/>
  </w:font>
  <w:font w:name="MT Extra">
    <w:panose1 w:val="05050102010205020202"/>
    <w:charset w:val="00"/>
    <w:family w:val="auto"/>
    <w:pitch w:val="default"/>
    <w:sig w:usb0="8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rPr>
        <w:lang w:val="es-EC" w:eastAsia="es-EC"/>
      </w:rPr>
    </w:pPr>
    <w:r>
      <w:rPr>
        <w:lang w:val="es-EC" w:eastAsia="es-EC"/>
      </w:rPr>
      <w:drawing>
        <wp:anchor distT="0" distB="0" distL="114300" distR="114300" simplePos="0" relativeHeight="251658240" behindDoc="1" locked="0" layoutInCell="1" allowOverlap="1">
          <wp:simplePos x="0" y="0"/>
          <wp:positionH relativeFrom="column">
            <wp:posOffset>-1191895</wp:posOffset>
          </wp:positionH>
          <wp:positionV relativeFrom="paragraph">
            <wp:posOffset>-408940</wp:posOffset>
          </wp:positionV>
          <wp:extent cx="7658735" cy="10671810"/>
          <wp:effectExtent l="0" t="0" r="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a:picLocks noChangeAspect="1"/>
                  </pic:cNvPicPr>
                </pic:nvPicPr>
                <pic:blipFill>
                  <a:blip r:embed="rId1"/>
                  <a:stretch>
                    <a:fillRect/>
                  </a:stretch>
                </pic:blipFill>
                <pic:spPr>
                  <a:xfrm>
                    <a:off x="0" y="0"/>
                    <a:ext cx="7658735" cy="10671810"/>
                  </a:xfrm>
                  <a:prstGeom prst="rect">
                    <a:avLst/>
                  </a:prstGeom>
                </pic:spPr>
              </pic:pic>
            </a:graphicData>
          </a:graphic>
        </wp:anchor>
      </w:drawing>
    </w:r>
  </w:p>
  <w:p>
    <w:pPr>
      <w:pStyle w:val="18"/>
      <w:rPr>
        <w:lang w:val="es-EC" w:eastAsia="es-E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21"/>
      <w:lvlText w:val=""/>
      <w:lvlJc w:val="left"/>
      <w:pPr>
        <w:tabs>
          <w:tab w:val="left" w:pos="360"/>
        </w:tabs>
        <w:ind w:left="360" w:hanging="360"/>
      </w:pPr>
      <w:rPr>
        <w:rFonts w:hint="default" w:ascii="Symbol" w:hAnsi="Symbol"/>
      </w:rPr>
    </w:lvl>
  </w:abstractNum>
  <w:abstractNum w:abstractNumId="1">
    <w:nsid w:val="0C30492A"/>
    <w:multiLevelType w:val="multilevel"/>
    <w:tmpl w:val="0C30492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F4B6748"/>
    <w:multiLevelType w:val="multilevel"/>
    <w:tmpl w:val="0F4B6748"/>
    <w:lvl w:ilvl="0" w:tentative="0">
      <w:start w:val="1"/>
      <w:numFmt w:val="decimal"/>
      <w:lvlText w:val="%1."/>
      <w:lvlJc w:val="left"/>
      <w:pPr>
        <w:ind w:left="0" w:hanging="360"/>
      </w:pPr>
      <w:rPr>
        <w:rFonts w:hint="default" w:ascii="Times New Roman" w:hAnsi="Times New Roman" w:eastAsia="Times New Roman" w:cs="Times New Roman"/>
        <w:b/>
        <w:bCs/>
        <w:w w:val="99"/>
        <w:sz w:val="26"/>
        <w:szCs w:val="26"/>
      </w:rPr>
    </w:lvl>
    <w:lvl w:ilvl="1" w:tentative="0">
      <w:start w:val="1"/>
      <w:numFmt w:val="decimal"/>
      <w:lvlText w:val="%1.%2"/>
      <w:lvlJc w:val="left"/>
      <w:pPr>
        <w:ind w:left="0" w:hanging="360"/>
      </w:pPr>
      <w:rPr>
        <w:rFonts w:hint="default" w:ascii="Times New Roman" w:hAnsi="Times New Roman" w:eastAsia="Times New Roman" w:cs="Times New Roman"/>
        <w:b/>
        <w:bCs/>
        <w:i/>
        <w:sz w:val="24"/>
        <w:szCs w:val="24"/>
      </w:rPr>
    </w:lvl>
    <w:lvl w:ilvl="2" w:tentative="0">
      <w:start w:val="1"/>
      <w:numFmt w:val="bullet"/>
      <w:lvlText w:val=""/>
      <w:lvlJc w:val="left"/>
      <w:pPr>
        <w:ind w:left="0" w:hanging="360"/>
      </w:pPr>
      <w:rPr>
        <w:rFonts w:hint="default" w:ascii="Symbol" w:hAnsi="Symbol" w:eastAsia="Symbol"/>
        <w:sz w:val="24"/>
        <w:szCs w:val="24"/>
      </w:r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
    <w:nsid w:val="301729B9"/>
    <w:multiLevelType w:val="multilevel"/>
    <w:tmpl w:val="301729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0E91A4C"/>
    <w:multiLevelType w:val="multilevel"/>
    <w:tmpl w:val="30E91A4C"/>
    <w:lvl w:ilvl="0" w:tentative="0">
      <w:start w:val="4"/>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A3C461D"/>
    <w:multiLevelType w:val="multilevel"/>
    <w:tmpl w:val="6A3C461D"/>
    <w:lvl w:ilvl="0" w:tentative="0">
      <w:start w:val="1"/>
      <w:numFmt w:val="lowerLetter"/>
      <w:lvlText w:val="%1)"/>
      <w:lvlJc w:val="lef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C32"/>
    <w:rsid w:val="00000910"/>
    <w:rsid w:val="000014B4"/>
    <w:rsid w:val="000016FE"/>
    <w:rsid w:val="000021B6"/>
    <w:rsid w:val="00002D7A"/>
    <w:rsid w:val="00003859"/>
    <w:rsid w:val="00003C6A"/>
    <w:rsid w:val="00005722"/>
    <w:rsid w:val="0000656D"/>
    <w:rsid w:val="0000679E"/>
    <w:rsid w:val="000069AB"/>
    <w:rsid w:val="00006F32"/>
    <w:rsid w:val="000116A5"/>
    <w:rsid w:val="00012553"/>
    <w:rsid w:val="00012A63"/>
    <w:rsid w:val="00012BBD"/>
    <w:rsid w:val="00012D22"/>
    <w:rsid w:val="00013CA4"/>
    <w:rsid w:val="00014687"/>
    <w:rsid w:val="00014C05"/>
    <w:rsid w:val="000153A8"/>
    <w:rsid w:val="000163B3"/>
    <w:rsid w:val="000165C1"/>
    <w:rsid w:val="00016790"/>
    <w:rsid w:val="000169F6"/>
    <w:rsid w:val="00020B1B"/>
    <w:rsid w:val="0002194C"/>
    <w:rsid w:val="00021ECF"/>
    <w:rsid w:val="0002298D"/>
    <w:rsid w:val="00023941"/>
    <w:rsid w:val="000240AC"/>
    <w:rsid w:val="000247EE"/>
    <w:rsid w:val="00024BD5"/>
    <w:rsid w:val="00024D94"/>
    <w:rsid w:val="00025A03"/>
    <w:rsid w:val="00026063"/>
    <w:rsid w:val="00026266"/>
    <w:rsid w:val="00026A44"/>
    <w:rsid w:val="000273FE"/>
    <w:rsid w:val="00027E23"/>
    <w:rsid w:val="00027F0D"/>
    <w:rsid w:val="00027FCC"/>
    <w:rsid w:val="0003136A"/>
    <w:rsid w:val="00032D8F"/>
    <w:rsid w:val="0003421A"/>
    <w:rsid w:val="00034C1F"/>
    <w:rsid w:val="0003514B"/>
    <w:rsid w:val="00035165"/>
    <w:rsid w:val="000351CC"/>
    <w:rsid w:val="00035423"/>
    <w:rsid w:val="000355B7"/>
    <w:rsid w:val="000361A9"/>
    <w:rsid w:val="0003627C"/>
    <w:rsid w:val="00037614"/>
    <w:rsid w:val="00037E41"/>
    <w:rsid w:val="00041B03"/>
    <w:rsid w:val="00041DFF"/>
    <w:rsid w:val="00042100"/>
    <w:rsid w:val="00042114"/>
    <w:rsid w:val="0004394D"/>
    <w:rsid w:val="00045B58"/>
    <w:rsid w:val="000465D4"/>
    <w:rsid w:val="00046B18"/>
    <w:rsid w:val="0004799C"/>
    <w:rsid w:val="00047B79"/>
    <w:rsid w:val="00047DD5"/>
    <w:rsid w:val="0005015C"/>
    <w:rsid w:val="000501D3"/>
    <w:rsid w:val="000509DD"/>
    <w:rsid w:val="00050A32"/>
    <w:rsid w:val="00051580"/>
    <w:rsid w:val="00051DDA"/>
    <w:rsid w:val="00054642"/>
    <w:rsid w:val="000555AE"/>
    <w:rsid w:val="000571B7"/>
    <w:rsid w:val="00057D07"/>
    <w:rsid w:val="0006008D"/>
    <w:rsid w:val="00060FBF"/>
    <w:rsid w:val="00062311"/>
    <w:rsid w:val="000626E2"/>
    <w:rsid w:val="000628CD"/>
    <w:rsid w:val="00062BAD"/>
    <w:rsid w:val="00063094"/>
    <w:rsid w:val="0006409D"/>
    <w:rsid w:val="00064403"/>
    <w:rsid w:val="000651F7"/>
    <w:rsid w:val="00065579"/>
    <w:rsid w:val="00066112"/>
    <w:rsid w:val="000662F4"/>
    <w:rsid w:val="00066BA7"/>
    <w:rsid w:val="00066BD0"/>
    <w:rsid w:val="000675AA"/>
    <w:rsid w:val="0007037F"/>
    <w:rsid w:val="0007076C"/>
    <w:rsid w:val="00070EE0"/>
    <w:rsid w:val="000712CB"/>
    <w:rsid w:val="000714E6"/>
    <w:rsid w:val="00071752"/>
    <w:rsid w:val="00071806"/>
    <w:rsid w:val="00071FAB"/>
    <w:rsid w:val="0007306E"/>
    <w:rsid w:val="000734E2"/>
    <w:rsid w:val="00073961"/>
    <w:rsid w:val="000743D1"/>
    <w:rsid w:val="000751D9"/>
    <w:rsid w:val="0007542F"/>
    <w:rsid w:val="0007580E"/>
    <w:rsid w:val="00076248"/>
    <w:rsid w:val="00081C51"/>
    <w:rsid w:val="00083070"/>
    <w:rsid w:val="000831CD"/>
    <w:rsid w:val="000844E1"/>
    <w:rsid w:val="00084579"/>
    <w:rsid w:val="00084B4C"/>
    <w:rsid w:val="0008526A"/>
    <w:rsid w:val="00085A5A"/>
    <w:rsid w:val="00086F7B"/>
    <w:rsid w:val="00086FFC"/>
    <w:rsid w:val="00087027"/>
    <w:rsid w:val="00087460"/>
    <w:rsid w:val="000901E0"/>
    <w:rsid w:val="00090FCA"/>
    <w:rsid w:val="00092196"/>
    <w:rsid w:val="00092231"/>
    <w:rsid w:val="0009348F"/>
    <w:rsid w:val="000947E4"/>
    <w:rsid w:val="00094C9D"/>
    <w:rsid w:val="00095A07"/>
    <w:rsid w:val="00096C8F"/>
    <w:rsid w:val="00096E61"/>
    <w:rsid w:val="00096FC7"/>
    <w:rsid w:val="000972B7"/>
    <w:rsid w:val="00097462"/>
    <w:rsid w:val="00097CCA"/>
    <w:rsid w:val="000A0043"/>
    <w:rsid w:val="000A1B17"/>
    <w:rsid w:val="000A2A1C"/>
    <w:rsid w:val="000A2B90"/>
    <w:rsid w:val="000A4AB8"/>
    <w:rsid w:val="000A5BC3"/>
    <w:rsid w:val="000A6045"/>
    <w:rsid w:val="000A6CF8"/>
    <w:rsid w:val="000A6D3A"/>
    <w:rsid w:val="000A73F0"/>
    <w:rsid w:val="000B07D5"/>
    <w:rsid w:val="000B1DCD"/>
    <w:rsid w:val="000B2D41"/>
    <w:rsid w:val="000B3A09"/>
    <w:rsid w:val="000B3B7F"/>
    <w:rsid w:val="000B3CD5"/>
    <w:rsid w:val="000B4134"/>
    <w:rsid w:val="000B4482"/>
    <w:rsid w:val="000B4521"/>
    <w:rsid w:val="000B4A87"/>
    <w:rsid w:val="000B4ACC"/>
    <w:rsid w:val="000B4EBE"/>
    <w:rsid w:val="000B518A"/>
    <w:rsid w:val="000B585A"/>
    <w:rsid w:val="000B75DF"/>
    <w:rsid w:val="000C022B"/>
    <w:rsid w:val="000C1F7A"/>
    <w:rsid w:val="000C23AC"/>
    <w:rsid w:val="000C26EE"/>
    <w:rsid w:val="000C2C16"/>
    <w:rsid w:val="000C35DE"/>
    <w:rsid w:val="000C6C37"/>
    <w:rsid w:val="000C7A5F"/>
    <w:rsid w:val="000D0F19"/>
    <w:rsid w:val="000D1092"/>
    <w:rsid w:val="000D1136"/>
    <w:rsid w:val="000D1685"/>
    <w:rsid w:val="000D4555"/>
    <w:rsid w:val="000D5743"/>
    <w:rsid w:val="000D5AD8"/>
    <w:rsid w:val="000D64CA"/>
    <w:rsid w:val="000D6686"/>
    <w:rsid w:val="000D7715"/>
    <w:rsid w:val="000D78A7"/>
    <w:rsid w:val="000E0570"/>
    <w:rsid w:val="000E0696"/>
    <w:rsid w:val="000E077F"/>
    <w:rsid w:val="000E07A1"/>
    <w:rsid w:val="000E0C1E"/>
    <w:rsid w:val="000E0F71"/>
    <w:rsid w:val="000E1F48"/>
    <w:rsid w:val="000E219C"/>
    <w:rsid w:val="000E2353"/>
    <w:rsid w:val="000E2A3E"/>
    <w:rsid w:val="000E2FB3"/>
    <w:rsid w:val="000E3308"/>
    <w:rsid w:val="000E3624"/>
    <w:rsid w:val="000E36EC"/>
    <w:rsid w:val="000E396D"/>
    <w:rsid w:val="000E39D9"/>
    <w:rsid w:val="000E4284"/>
    <w:rsid w:val="000E4FB7"/>
    <w:rsid w:val="000E5CC2"/>
    <w:rsid w:val="000E679E"/>
    <w:rsid w:val="000E6B70"/>
    <w:rsid w:val="000E710D"/>
    <w:rsid w:val="000E73DD"/>
    <w:rsid w:val="000E7ADB"/>
    <w:rsid w:val="000E7F0D"/>
    <w:rsid w:val="000F14D6"/>
    <w:rsid w:val="000F1680"/>
    <w:rsid w:val="000F1925"/>
    <w:rsid w:val="000F20C7"/>
    <w:rsid w:val="000F2F31"/>
    <w:rsid w:val="000F3532"/>
    <w:rsid w:val="000F36FA"/>
    <w:rsid w:val="000F3B97"/>
    <w:rsid w:val="000F4BDD"/>
    <w:rsid w:val="000F4F8B"/>
    <w:rsid w:val="000F654B"/>
    <w:rsid w:val="000F6DFB"/>
    <w:rsid w:val="000F728C"/>
    <w:rsid w:val="000F7E31"/>
    <w:rsid w:val="000F7FAB"/>
    <w:rsid w:val="001002FA"/>
    <w:rsid w:val="001009A9"/>
    <w:rsid w:val="00100C0B"/>
    <w:rsid w:val="0010111A"/>
    <w:rsid w:val="00101160"/>
    <w:rsid w:val="00101563"/>
    <w:rsid w:val="0010160E"/>
    <w:rsid w:val="00101F39"/>
    <w:rsid w:val="00102084"/>
    <w:rsid w:val="00102863"/>
    <w:rsid w:val="00103247"/>
    <w:rsid w:val="00103397"/>
    <w:rsid w:val="00103B1C"/>
    <w:rsid w:val="0010673F"/>
    <w:rsid w:val="00106F52"/>
    <w:rsid w:val="00107362"/>
    <w:rsid w:val="00107422"/>
    <w:rsid w:val="0011113A"/>
    <w:rsid w:val="001117E2"/>
    <w:rsid w:val="001118AB"/>
    <w:rsid w:val="001134CB"/>
    <w:rsid w:val="00114C8A"/>
    <w:rsid w:val="001151B7"/>
    <w:rsid w:val="00120873"/>
    <w:rsid w:val="00120D55"/>
    <w:rsid w:val="001211F7"/>
    <w:rsid w:val="00123C29"/>
    <w:rsid w:val="0012422B"/>
    <w:rsid w:val="0012505F"/>
    <w:rsid w:val="001253F7"/>
    <w:rsid w:val="001256AD"/>
    <w:rsid w:val="00125839"/>
    <w:rsid w:val="001266C5"/>
    <w:rsid w:val="001269F4"/>
    <w:rsid w:val="00126A0A"/>
    <w:rsid w:val="0012714E"/>
    <w:rsid w:val="00127370"/>
    <w:rsid w:val="00127CC9"/>
    <w:rsid w:val="0013064B"/>
    <w:rsid w:val="0013087B"/>
    <w:rsid w:val="00130AFE"/>
    <w:rsid w:val="00130E1E"/>
    <w:rsid w:val="00131025"/>
    <w:rsid w:val="001326CC"/>
    <w:rsid w:val="001347BF"/>
    <w:rsid w:val="0013654A"/>
    <w:rsid w:val="001373CA"/>
    <w:rsid w:val="00140897"/>
    <w:rsid w:val="001409DB"/>
    <w:rsid w:val="001412B4"/>
    <w:rsid w:val="00141A49"/>
    <w:rsid w:val="00141AEC"/>
    <w:rsid w:val="00141B78"/>
    <w:rsid w:val="00142E12"/>
    <w:rsid w:val="0014332F"/>
    <w:rsid w:val="00143532"/>
    <w:rsid w:val="0014370C"/>
    <w:rsid w:val="0014377F"/>
    <w:rsid w:val="00143A2B"/>
    <w:rsid w:val="00143E7D"/>
    <w:rsid w:val="001447FA"/>
    <w:rsid w:val="0014486E"/>
    <w:rsid w:val="00144B54"/>
    <w:rsid w:val="001450D1"/>
    <w:rsid w:val="0014520F"/>
    <w:rsid w:val="00145C0F"/>
    <w:rsid w:val="00145D17"/>
    <w:rsid w:val="00145DA2"/>
    <w:rsid w:val="00146564"/>
    <w:rsid w:val="001505F8"/>
    <w:rsid w:val="00150DEB"/>
    <w:rsid w:val="001523B0"/>
    <w:rsid w:val="00152998"/>
    <w:rsid w:val="00153500"/>
    <w:rsid w:val="001537CF"/>
    <w:rsid w:val="00153E9F"/>
    <w:rsid w:val="00154768"/>
    <w:rsid w:val="0015572B"/>
    <w:rsid w:val="00155C1B"/>
    <w:rsid w:val="00156AC6"/>
    <w:rsid w:val="00161760"/>
    <w:rsid w:val="00162048"/>
    <w:rsid w:val="001620BE"/>
    <w:rsid w:val="00162937"/>
    <w:rsid w:val="00162BBF"/>
    <w:rsid w:val="00163690"/>
    <w:rsid w:val="001643DD"/>
    <w:rsid w:val="001665D2"/>
    <w:rsid w:val="00167A6E"/>
    <w:rsid w:val="00167D4A"/>
    <w:rsid w:val="00167D68"/>
    <w:rsid w:val="001701FB"/>
    <w:rsid w:val="001702F1"/>
    <w:rsid w:val="001706FD"/>
    <w:rsid w:val="00170970"/>
    <w:rsid w:val="00170B4D"/>
    <w:rsid w:val="0017121F"/>
    <w:rsid w:val="00171E9C"/>
    <w:rsid w:val="001729CA"/>
    <w:rsid w:val="001729FC"/>
    <w:rsid w:val="001731E7"/>
    <w:rsid w:val="001732FD"/>
    <w:rsid w:val="001734B4"/>
    <w:rsid w:val="00173654"/>
    <w:rsid w:val="00174893"/>
    <w:rsid w:val="00175882"/>
    <w:rsid w:val="00176C7D"/>
    <w:rsid w:val="0017756D"/>
    <w:rsid w:val="00177FAA"/>
    <w:rsid w:val="0018056B"/>
    <w:rsid w:val="00180ADA"/>
    <w:rsid w:val="00181300"/>
    <w:rsid w:val="001816A0"/>
    <w:rsid w:val="001817B9"/>
    <w:rsid w:val="00181D5C"/>
    <w:rsid w:val="00183D4F"/>
    <w:rsid w:val="0018491C"/>
    <w:rsid w:val="00184AFB"/>
    <w:rsid w:val="00184B24"/>
    <w:rsid w:val="001859FD"/>
    <w:rsid w:val="0018722D"/>
    <w:rsid w:val="00187258"/>
    <w:rsid w:val="00187789"/>
    <w:rsid w:val="001914D3"/>
    <w:rsid w:val="00191FA5"/>
    <w:rsid w:val="00192E6D"/>
    <w:rsid w:val="00192FB2"/>
    <w:rsid w:val="00193AB8"/>
    <w:rsid w:val="0019484F"/>
    <w:rsid w:val="00195730"/>
    <w:rsid w:val="00195838"/>
    <w:rsid w:val="0019596F"/>
    <w:rsid w:val="00195CBD"/>
    <w:rsid w:val="001960A2"/>
    <w:rsid w:val="00196AD8"/>
    <w:rsid w:val="00197A13"/>
    <w:rsid w:val="001A04BF"/>
    <w:rsid w:val="001A1997"/>
    <w:rsid w:val="001A2062"/>
    <w:rsid w:val="001A2167"/>
    <w:rsid w:val="001A262F"/>
    <w:rsid w:val="001A2CE8"/>
    <w:rsid w:val="001A3BB0"/>
    <w:rsid w:val="001A3CCD"/>
    <w:rsid w:val="001A5632"/>
    <w:rsid w:val="001A5805"/>
    <w:rsid w:val="001A60B7"/>
    <w:rsid w:val="001A64A4"/>
    <w:rsid w:val="001A6899"/>
    <w:rsid w:val="001A6A1A"/>
    <w:rsid w:val="001A700D"/>
    <w:rsid w:val="001A7989"/>
    <w:rsid w:val="001B0BDF"/>
    <w:rsid w:val="001B1F8A"/>
    <w:rsid w:val="001B20DE"/>
    <w:rsid w:val="001B221D"/>
    <w:rsid w:val="001B22A6"/>
    <w:rsid w:val="001B26F7"/>
    <w:rsid w:val="001B27F0"/>
    <w:rsid w:val="001B58A9"/>
    <w:rsid w:val="001B5BDF"/>
    <w:rsid w:val="001B731A"/>
    <w:rsid w:val="001B7A35"/>
    <w:rsid w:val="001B7E46"/>
    <w:rsid w:val="001C0307"/>
    <w:rsid w:val="001C2C53"/>
    <w:rsid w:val="001C35FE"/>
    <w:rsid w:val="001C3FEC"/>
    <w:rsid w:val="001C4720"/>
    <w:rsid w:val="001C6625"/>
    <w:rsid w:val="001C6C39"/>
    <w:rsid w:val="001C6C80"/>
    <w:rsid w:val="001C6F7C"/>
    <w:rsid w:val="001C7F3E"/>
    <w:rsid w:val="001D012E"/>
    <w:rsid w:val="001D0972"/>
    <w:rsid w:val="001D1BFE"/>
    <w:rsid w:val="001D30BE"/>
    <w:rsid w:val="001D3366"/>
    <w:rsid w:val="001D370F"/>
    <w:rsid w:val="001D3F26"/>
    <w:rsid w:val="001D51DE"/>
    <w:rsid w:val="001D5624"/>
    <w:rsid w:val="001D5811"/>
    <w:rsid w:val="001D59E0"/>
    <w:rsid w:val="001D5DC1"/>
    <w:rsid w:val="001D5EC6"/>
    <w:rsid w:val="001D5F85"/>
    <w:rsid w:val="001D667B"/>
    <w:rsid w:val="001D6B78"/>
    <w:rsid w:val="001D6BD6"/>
    <w:rsid w:val="001D7203"/>
    <w:rsid w:val="001E0CF3"/>
    <w:rsid w:val="001E11C8"/>
    <w:rsid w:val="001E3468"/>
    <w:rsid w:val="001E355A"/>
    <w:rsid w:val="001E366B"/>
    <w:rsid w:val="001E37D1"/>
    <w:rsid w:val="001E4201"/>
    <w:rsid w:val="001E450B"/>
    <w:rsid w:val="001E4C3E"/>
    <w:rsid w:val="001E4EBD"/>
    <w:rsid w:val="001E52D4"/>
    <w:rsid w:val="001E55EE"/>
    <w:rsid w:val="001E5819"/>
    <w:rsid w:val="001E66EC"/>
    <w:rsid w:val="001E69F8"/>
    <w:rsid w:val="001F1C0E"/>
    <w:rsid w:val="001F23E4"/>
    <w:rsid w:val="001F2940"/>
    <w:rsid w:val="001F2941"/>
    <w:rsid w:val="001F2BC1"/>
    <w:rsid w:val="001F2E8E"/>
    <w:rsid w:val="001F2F81"/>
    <w:rsid w:val="001F3181"/>
    <w:rsid w:val="001F3D85"/>
    <w:rsid w:val="001F3F09"/>
    <w:rsid w:val="001F4ACC"/>
    <w:rsid w:val="001F4B61"/>
    <w:rsid w:val="001F566E"/>
    <w:rsid w:val="001F5D5B"/>
    <w:rsid w:val="001F6159"/>
    <w:rsid w:val="001F6702"/>
    <w:rsid w:val="001F698E"/>
    <w:rsid w:val="001F6C9B"/>
    <w:rsid w:val="00200C64"/>
    <w:rsid w:val="002011B6"/>
    <w:rsid w:val="00201CD5"/>
    <w:rsid w:val="00201E57"/>
    <w:rsid w:val="002042AC"/>
    <w:rsid w:val="00204E22"/>
    <w:rsid w:val="0020686E"/>
    <w:rsid w:val="00206A0A"/>
    <w:rsid w:val="0020744D"/>
    <w:rsid w:val="002077FF"/>
    <w:rsid w:val="00210986"/>
    <w:rsid w:val="00210D6C"/>
    <w:rsid w:val="00210E21"/>
    <w:rsid w:val="00210E2D"/>
    <w:rsid w:val="00211EAE"/>
    <w:rsid w:val="002123AA"/>
    <w:rsid w:val="0021267E"/>
    <w:rsid w:val="00212B1D"/>
    <w:rsid w:val="0021395D"/>
    <w:rsid w:val="00213B8C"/>
    <w:rsid w:val="002142A5"/>
    <w:rsid w:val="00214313"/>
    <w:rsid w:val="0021483A"/>
    <w:rsid w:val="00215755"/>
    <w:rsid w:val="002157B4"/>
    <w:rsid w:val="00215B53"/>
    <w:rsid w:val="00216BEA"/>
    <w:rsid w:val="00216DE6"/>
    <w:rsid w:val="00216FAA"/>
    <w:rsid w:val="002170DA"/>
    <w:rsid w:val="002177D3"/>
    <w:rsid w:val="002178CF"/>
    <w:rsid w:val="00217D3B"/>
    <w:rsid w:val="00220477"/>
    <w:rsid w:val="00220FA2"/>
    <w:rsid w:val="0022126C"/>
    <w:rsid w:val="00221D7C"/>
    <w:rsid w:val="00222BA5"/>
    <w:rsid w:val="00223193"/>
    <w:rsid w:val="002253DA"/>
    <w:rsid w:val="00225B33"/>
    <w:rsid w:val="002263BC"/>
    <w:rsid w:val="00226659"/>
    <w:rsid w:val="00226F47"/>
    <w:rsid w:val="00226F52"/>
    <w:rsid w:val="00227C1B"/>
    <w:rsid w:val="0023019C"/>
    <w:rsid w:val="0023072B"/>
    <w:rsid w:val="00231047"/>
    <w:rsid w:val="00231912"/>
    <w:rsid w:val="00233B6F"/>
    <w:rsid w:val="00234A26"/>
    <w:rsid w:val="00234F4D"/>
    <w:rsid w:val="00235168"/>
    <w:rsid w:val="00235202"/>
    <w:rsid w:val="002353F4"/>
    <w:rsid w:val="00235869"/>
    <w:rsid w:val="00235B2E"/>
    <w:rsid w:val="00235CD8"/>
    <w:rsid w:val="00235D43"/>
    <w:rsid w:val="00235E47"/>
    <w:rsid w:val="00235EB8"/>
    <w:rsid w:val="00236C5C"/>
    <w:rsid w:val="00237375"/>
    <w:rsid w:val="002402FB"/>
    <w:rsid w:val="0024097F"/>
    <w:rsid w:val="00240BCC"/>
    <w:rsid w:val="0024129E"/>
    <w:rsid w:val="00241385"/>
    <w:rsid w:val="002425A4"/>
    <w:rsid w:val="0024274D"/>
    <w:rsid w:val="002427F2"/>
    <w:rsid w:val="002439B3"/>
    <w:rsid w:val="00244586"/>
    <w:rsid w:val="0024474D"/>
    <w:rsid w:val="00245060"/>
    <w:rsid w:val="00245563"/>
    <w:rsid w:val="00245B58"/>
    <w:rsid w:val="0024739A"/>
    <w:rsid w:val="00247DD2"/>
    <w:rsid w:val="00247F1F"/>
    <w:rsid w:val="00250BA2"/>
    <w:rsid w:val="00250EEE"/>
    <w:rsid w:val="00251908"/>
    <w:rsid w:val="00251ACD"/>
    <w:rsid w:val="002526E5"/>
    <w:rsid w:val="002528B8"/>
    <w:rsid w:val="0025341A"/>
    <w:rsid w:val="00253986"/>
    <w:rsid w:val="00254837"/>
    <w:rsid w:val="00254DE4"/>
    <w:rsid w:val="00255A27"/>
    <w:rsid w:val="00255F6C"/>
    <w:rsid w:val="00256154"/>
    <w:rsid w:val="002563A1"/>
    <w:rsid w:val="00256FB7"/>
    <w:rsid w:val="002600CC"/>
    <w:rsid w:val="00261073"/>
    <w:rsid w:val="0026276A"/>
    <w:rsid w:val="00262B55"/>
    <w:rsid w:val="00262BC5"/>
    <w:rsid w:val="00263C77"/>
    <w:rsid w:val="002642A6"/>
    <w:rsid w:val="002642CA"/>
    <w:rsid w:val="002675FB"/>
    <w:rsid w:val="0027093D"/>
    <w:rsid w:val="00270C67"/>
    <w:rsid w:val="00271CB4"/>
    <w:rsid w:val="00271D69"/>
    <w:rsid w:val="002729EB"/>
    <w:rsid w:val="0027381A"/>
    <w:rsid w:val="00273A88"/>
    <w:rsid w:val="0027446F"/>
    <w:rsid w:val="002759FF"/>
    <w:rsid w:val="00276639"/>
    <w:rsid w:val="00276749"/>
    <w:rsid w:val="00276D8D"/>
    <w:rsid w:val="00277F64"/>
    <w:rsid w:val="0028019F"/>
    <w:rsid w:val="0028042D"/>
    <w:rsid w:val="00280B04"/>
    <w:rsid w:val="00280BD0"/>
    <w:rsid w:val="0028128E"/>
    <w:rsid w:val="00281962"/>
    <w:rsid w:val="00281C8C"/>
    <w:rsid w:val="00282085"/>
    <w:rsid w:val="0028239B"/>
    <w:rsid w:val="002828F0"/>
    <w:rsid w:val="0028363E"/>
    <w:rsid w:val="00283E02"/>
    <w:rsid w:val="00283FB5"/>
    <w:rsid w:val="00284031"/>
    <w:rsid w:val="002841C1"/>
    <w:rsid w:val="00284458"/>
    <w:rsid w:val="00285C9F"/>
    <w:rsid w:val="00286171"/>
    <w:rsid w:val="00286491"/>
    <w:rsid w:val="0028696C"/>
    <w:rsid w:val="002875AE"/>
    <w:rsid w:val="00287C5B"/>
    <w:rsid w:val="00290300"/>
    <w:rsid w:val="002904FB"/>
    <w:rsid w:val="00290873"/>
    <w:rsid w:val="00290B75"/>
    <w:rsid w:val="00291820"/>
    <w:rsid w:val="00291ECF"/>
    <w:rsid w:val="00292D03"/>
    <w:rsid w:val="00292DD9"/>
    <w:rsid w:val="00293EFD"/>
    <w:rsid w:val="002941D4"/>
    <w:rsid w:val="0029448E"/>
    <w:rsid w:val="002949E7"/>
    <w:rsid w:val="00295275"/>
    <w:rsid w:val="0029540B"/>
    <w:rsid w:val="002959E6"/>
    <w:rsid w:val="0029719A"/>
    <w:rsid w:val="00297C19"/>
    <w:rsid w:val="002A0A19"/>
    <w:rsid w:val="002A0C45"/>
    <w:rsid w:val="002A151D"/>
    <w:rsid w:val="002A1849"/>
    <w:rsid w:val="002A1B22"/>
    <w:rsid w:val="002A2825"/>
    <w:rsid w:val="002A36E8"/>
    <w:rsid w:val="002A4A72"/>
    <w:rsid w:val="002A555C"/>
    <w:rsid w:val="002A56CF"/>
    <w:rsid w:val="002A5E58"/>
    <w:rsid w:val="002A63A6"/>
    <w:rsid w:val="002A6722"/>
    <w:rsid w:val="002A7873"/>
    <w:rsid w:val="002A7BF1"/>
    <w:rsid w:val="002A7F5F"/>
    <w:rsid w:val="002B025F"/>
    <w:rsid w:val="002B0E83"/>
    <w:rsid w:val="002B1116"/>
    <w:rsid w:val="002B22D6"/>
    <w:rsid w:val="002B284C"/>
    <w:rsid w:val="002B362E"/>
    <w:rsid w:val="002B38C1"/>
    <w:rsid w:val="002B3CAF"/>
    <w:rsid w:val="002B3CED"/>
    <w:rsid w:val="002B449C"/>
    <w:rsid w:val="002B4F0F"/>
    <w:rsid w:val="002B520B"/>
    <w:rsid w:val="002B5252"/>
    <w:rsid w:val="002C1327"/>
    <w:rsid w:val="002C1363"/>
    <w:rsid w:val="002C2AC0"/>
    <w:rsid w:val="002C2E5C"/>
    <w:rsid w:val="002C2EAF"/>
    <w:rsid w:val="002C4459"/>
    <w:rsid w:val="002C4B82"/>
    <w:rsid w:val="002C4C4F"/>
    <w:rsid w:val="002C560D"/>
    <w:rsid w:val="002C6277"/>
    <w:rsid w:val="002C6518"/>
    <w:rsid w:val="002C69AA"/>
    <w:rsid w:val="002C6F9E"/>
    <w:rsid w:val="002C7944"/>
    <w:rsid w:val="002D04BB"/>
    <w:rsid w:val="002D06C8"/>
    <w:rsid w:val="002D09D4"/>
    <w:rsid w:val="002D0B13"/>
    <w:rsid w:val="002D0C82"/>
    <w:rsid w:val="002D1143"/>
    <w:rsid w:val="002D29C8"/>
    <w:rsid w:val="002D2EF9"/>
    <w:rsid w:val="002D346A"/>
    <w:rsid w:val="002D34F5"/>
    <w:rsid w:val="002D3DE7"/>
    <w:rsid w:val="002D5223"/>
    <w:rsid w:val="002D56A8"/>
    <w:rsid w:val="002D5A9A"/>
    <w:rsid w:val="002D62CC"/>
    <w:rsid w:val="002D6A26"/>
    <w:rsid w:val="002D711E"/>
    <w:rsid w:val="002D71A8"/>
    <w:rsid w:val="002E010F"/>
    <w:rsid w:val="002E0C3A"/>
    <w:rsid w:val="002E0F57"/>
    <w:rsid w:val="002E0F84"/>
    <w:rsid w:val="002E1665"/>
    <w:rsid w:val="002E1869"/>
    <w:rsid w:val="002E1FFE"/>
    <w:rsid w:val="002E23DF"/>
    <w:rsid w:val="002E24CA"/>
    <w:rsid w:val="002E2696"/>
    <w:rsid w:val="002E271D"/>
    <w:rsid w:val="002E39C1"/>
    <w:rsid w:val="002E50E9"/>
    <w:rsid w:val="002E56A6"/>
    <w:rsid w:val="002E5AAF"/>
    <w:rsid w:val="002E65E1"/>
    <w:rsid w:val="002E6C1D"/>
    <w:rsid w:val="002E7635"/>
    <w:rsid w:val="002F039E"/>
    <w:rsid w:val="002F05A1"/>
    <w:rsid w:val="002F0B65"/>
    <w:rsid w:val="002F104A"/>
    <w:rsid w:val="002F2E33"/>
    <w:rsid w:val="002F3090"/>
    <w:rsid w:val="002F3131"/>
    <w:rsid w:val="002F3B47"/>
    <w:rsid w:val="002F3D61"/>
    <w:rsid w:val="002F411C"/>
    <w:rsid w:val="002F5056"/>
    <w:rsid w:val="002F5CA8"/>
    <w:rsid w:val="002F5E72"/>
    <w:rsid w:val="002F79E5"/>
    <w:rsid w:val="003006B9"/>
    <w:rsid w:val="00300738"/>
    <w:rsid w:val="00301526"/>
    <w:rsid w:val="0030204F"/>
    <w:rsid w:val="00305E5D"/>
    <w:rsid w:val="0030608D"/>
    <w:rsid w:val="003065EF"/>
    <w:rsid w:val="00306ADB"/>
    <w:rsid w:val="003070EB"/>
    <w:rsid w:val="00307809"/>
    <w:rsid w:val="003101DE"/>
    <w:rsid w:val="00310E05"/>
    <w:rsid w:val="003113A7"/>
    <w:rsid w:val="003118E8"/>
    <w:rsid w:val="00311918"/>
    <w:rsid w:val="00312131"/>
    <w:rsid w:val="00312311"/>
    <w:rsid w:val="00312EB7"/>
    <w:rsid w:val="003137B2"/>
    <w:rsid w:val="0031391C"/>
    <w:rsid w:val="00313A26"/>
    <w:rsid w:val="00313E1F"/>
    <w:rsid w:val="00313FC5"/>
    <w:rsid w:val="00314243"/>
    <w:rsid w:val="0031569E"/>
    <w:rsid w:val="00315708"/>
    <w:rsid w:val="00316D29"/>
    <w:rsid w:val="00317FE5"/>
    <w:rsid w:val="0032225D"/>
    <w:rsid w:val="00322D59"/>
    <w:rsid w:val="00323106"/>
    <w:rsid w:val="0032379A"/>
    <w:rsid w:val="00323BC9"/>
    <w:rsid w:val="00323D05"/>
    <w:rsid w:val="00324201"/>
    <w:rsid w:val="00324B77"/>
    <w:rsid w:val="00327C53"/>
    <w:rsid w:val="00327E12"/>
    <w:rsid w:val="003306A8"/>
    <w:rsid w:val="00331347"/>
    <w:rsid w:val="00331CF8"/>
    <w:rsid w:val="00333C2C"/>
    <w:rsid w:val="00333FE8"/>
    <w:rsid w:val="00334B31"/>
    <w:rsid w:val="00334F78"/>
    <w:rsid w:val="00337758"/>
    <w:rsid w:val="00337791"/>
    <w:rsid w:val="0033781F"/>
    <w:rsid w:val="00337D3F"/>
    <w:rsid w:val="0034088C"/>
    <w:rsid w:val="0034311B"/>
    <w:rsid w:val="00343585"/>
    <w:rsid w:val="003435D1"/>
    <w:rsid w:val="003435D2"/>
    <w:rsid w:val="00343D08"/>
    <w:rsid w:val="0034554B"/>
    <w:rsid w:val="003455DC"/>
    <w:rsid w:val="00345624"/>
    <w:rsid w:val="00345A67"/>
    <w:rsid w:val="00345E84"/>
    <w:rsid w:val="00346019"/>
    <w:rsid w:val="0034745B"/>
    <w:rsid w:val="00347845"/>
    <w:rsid w:val="00347BC8"/>
    <w:rsid w:val="00347F23"/>
    <w:rsid w:val="0035146E"/>
    <w:rsid w:val="003526BB"/>
    <w:rsid w:val="00352CB4"/>
    <w:rsid w:val="00353D41"/>
    <w:rsid w:val="00354837"/>
    <w:rsid w:val="00356414"/>
    <w:rsid w:val="0035674C"/>
    <w:rsid w:val="003571CF"/>
    <w:rsid w:val="0035724C"/>
    <w:rsid w:val="0035749E"/>
    <w:rsid w:val="003601D8"/>
    <w:rsid w:val="003606F4"/>
    <w:rsid w:val="00360AC2"/>
    <w:rsid w:val="00361335"/>
    <w:rsid w:val="00362313"/>
    <w:rsid w:val="00362684"/>
    <w:rsid w:val="0036288B"/>
    <w:rsid w:val="00362A33"/>
    <w:rsid w:val="00362AF2"/>
    <w:rsid w:val="00363639"/>
    <w:rsid w:val="00364247"/>
    <w:rsid w:val="00364F59"/>
    <w:rsid w:val="00365BBD"/>
    <w:rsid w:val="00365CD3"/>
    <w:rsid w:val="003675DF"/>
    <w:rsid w:val="00370CD8"/>
    <w:rsid w:val="00370F66"/>
    <w:rsid w:val="00371257"/>
    <w:rsid w:val="00371357"/>
    <w:rsid w:val="003719EF"/>
    <w:rsid w:val="003734DF"/>
    <w:rsid w:val="00373EF3"/>
    <w:rsid w:val="00374596"/>
    <w:rsid w:val="003756B2"/>
    <w:rsid w:val="00375AA2"/>
    <w:rsid w:val="0037669B"/>
    <w:rsid w:val="0037781C"/>
    <w:rsid w:val="00380849"/>
    <w:rsid w:val="00380B69"/>
    <w:rsid w:val="0038100C"/>
    <w:rsid w:val="003814EB"/>
    <w:rsid w:val="003819B9"/>
    <w:rsid w:val="00381A4E"/>
    <w:rsid w:val="003827FB"/>
    <w:rsid w:val="003836E5"/>
    <w:rsid w:val="00383C7B"/>
    <w:rsid w:val="00384A80"/>
    <w:rsid w:val="0038567E"/>
    <w:rsid w:val="0038692B"/>
    <w:rsid w:val="003869BB"/>
    <w:rsid w:val="00386C79"/>
    <w:rsid w:val="00387BD0"/>
    <w:rsid w:val="00390553"/>
    <w:rsid w:val="0039065C"/>
    <w:rsid w:val="00390B19"/>
    <w:rsid w:val="00390BEE"/>
    <w:rsid w:val="00392C29"/>
    <w:rsid w:val="00392F30"/>
    <w:rsid w:val="00393BF7"/>
    <w:rsid w:val="00393D92"/>
    <w:rsid w:val="003947D1"/>
    <w:rsid w:val="0039485F"/>
    <w:rsid w:val="0039553C"/>
    <w:rsid w:val="003959E0"/>
    <w:rsid w:val="00395ABD"/>
    <w:rsid w:val="003961DE"/>
    <w:rsid w:val="0039627E"/>
    <w:rsid w:val="003976CE"/>
    <w:rsid w:val="003976D9"/>
    <w:rsid w:val="003A021E"/>
    <w:rsid w:val="003A121B"/>
    <w:rsid w:val="003A196D"/>
    <w:rsid w:val="003A1EE8"/>
    <w:rsid w:val="003A3EBA"/>
    <w:rsid w:val="003A47C0"/>
    <w:rsid w:val="003A584F"/>
    <w:rsid w:val="003A5E9E"/>
    <w:rsid w:val="003A6604"/>
    <w:rsid w:val="003A6A12"/>
    <w:rsid w:val="003A6FF6"/>
    <w:rsid w:val="003B185E"/>
    <w:rsid w:val="003B2586"/>
    <w:rsid w:val="003B338E"/>
    <w:rsid w:val="003B3C9D"/>
    <w:rsid w:val="003B3F9B"/>
    <w:rsid w:val="003B46DF"/>
    <w:rsid w:val="003B4CC1"/>
    <w:rsid w:val="003B563D"/>
    <w:rsid w:val="003B5A3B"/>
    <w:rsid w:val="003B5A55"/>
    <w:rsid w:val="003B6354"/>
    <w:rsid w:val="003B6AA3"/>
    <w:rsid w:val="003B73E0"/>
    <w:rsid w:val="003B785F"/>
    <w:rsid w:val="003B797F"/>
    <w:rsid w:val="003C0F9A"/>
    <w:rsid w:val="003C13C3"/>
    <w:rsid w:val="003C1F68"/>
    <w:rsid w:val="003C2228"/>
    <w:rsid w:val="003C25B4"/>
    <w:rsid w:val="003C276F"/>
    <w:rsid w:val="003C297F"/>
    <w:rsid w:val="003C35BF"/>
    <w:rsid w:val="003C3A8E"/>
    <w:rsid w:val="003C4532"/>
    <w:rsid w:val="003C54F8"/>
    <w:rsid w:val="003C56A9"/>
    <w:rsid w:val="003C7020"/>
    <w:rsid w:val="003D0071"/>
    <w:rsid w:val="003D0F6E"/>
    <w:rsid w:val="003D12E6"/>
    <w:rsid w:val="003D13DB"/>
    <w:rsid w:val="003D1485"/>
    <w:rsid w:val="003D514E"/>
    <w:rsid w:val="003D61F6"/>
    <w:rsid w:val="003D65BC"/>
    <w:rsid w:val="003D71D6"/>
    <w:rsid w:val="003D768B"/>
    <w:rsid w:val="003E017D"/>
    <w:rsid w:val="003E0CAE"/>
    <w:rsid w:val="003E1F3A"/>
    <w:rsid w:val="003E2441"/>
    <w:rsid w:val="003E3365"/>
    <w:rsid w:val="003E44A3"/>
    <w:rsid w:val="003E6E0B"/>
    <w:rsid w:val="003E72A7"/>
    <w:rsid w:val="003E7613"/>
    <w:rsid w:val="003E77A5"/>
    <w:rsid w:val="003E7F86"/>
    <w:rsid w:val="003F02C8"/>
    <w:rsid w:val="003F0457"/>
    <w:rsid w:val="003F04A0"/>
    <w:rsid w:val="003F0FE5"/>
    <w:rsid w:val="003F10D4"/>
    <w:rsid w:val="003F13DC"/>
    <w:rsid w:val="003F3B40"/>
    <w:rsid w:val="003F4A96"/>
    <w:rsid w:val="003F609C"/>
    <w:rsid w:val="003F6B11"/>
    <w:rsid w:val="003F7B1F"/>
    <w:rsid w:val="004008EC"/>
    <w:rsid w:val="00400D5E"/>
    <w:rsid w:val="00400E95"/>
    <w:rsid w:val="0040193B"/>
    <w:rsid w:val="004032A5"/>
    <w:rsid w:val="004033C3"/>
    <w:rsid w:val="0040363F"/>
    <w:rsid w:val="00404045"/>
    <w:rsid w:val="00404A9F"/>
    <w:rsid w:val="00404E71"/>
    <w:rsid w:val="00404F84"/>
    <w:rsid w:val="004056DB"/>
    <w:rsid w:val="00405F1F"/>
    <w:rsid w:val="00407790"/>
    <w:rsid w:val="00407ECC"/>
    <w:rsid w:val="00410769"/>
    <w:rsid w:val="0041088B"/>
    <w:rsid w:val="00410BBA"/>
    <w:rsid w:val="0041273D"/>
    <w:rsid w:val="0041394A"/>
    <w:rsid w:val="00413E18"/>
    <w:rsid w:val="00414849"/>
    <w:rsid w:val="0041562D"/>
    <w:rsid w:val="00415EF4"/>
    <w:rsid w:val="004178DE"/>
    <w:rsid w:val="00420448"/>
    <w:rsid w:val="00420D7D"/>
    <w:rsid w:val="00420F19"/>
    <w:rsid w:val="0042212C"/>
    <w:rsid w:val="00422ACF"/>
    <w:rsid w:val="00422DCD"/>
    <w:rsid w:val="00424845"/>
    <w:rsid w:val="004249DA"/>
    <w:rsid w:val="004254EF"/>
    <w:rsid w:val="00425C01"/>
    <w:rsid w:val="004265DF"/>
    <w:rsid w:val="00426E23"/>
    <w:rsid w:val="00427983"/>
    <w:rsid w:val="004300DA"/>
    <w:rsid w:val="004303D9"/>
    <w:rsid w:val="00432027"/>
    <w:rsid w:val="00432DEB"/>
    <w:rsid w:val="00433506"/>
    <w:rsid w:val="00434356"/>
    <w:rsid w:val="00434F91"/>
    <w:rsid w:val="0043784D"/>
    <w:rsid w:val="00441831"/>
    <w:rsid w:val="00441936"/>
    <w:rsid w:val="0044196C"/>
    <w:rsid w:val="00442176"/>
    <w:rsid w:val="00442AF5"/>
    <w:rsid w:val="004430BC"/>
    <w:rsid w:val="0044427F"/>
    <w:rsid w:val="00444529"/>
    <w:rsid w:val="00445B19"/>
    <w:rsid w:val="00445B6B"/>
    <w:rsid w:val="00446A42"/>
    <w:rsid w:val="00446D42"/>
    <w:rsid w:val="0044754B"/>
    <w:rsid w:val="004479CD"/>
    <w:rsid w:val="00447AC2"/>
    <w:rsid w:val="004502F7"/>
    <w:rsid w:val="00452C72"/>
    <w:rsid w:val="00452EC6"/>
    <w:rsid w:val="004534C1"/>
    <w:rsid w:val="00454048"/>
    <w:rsid w:val="00454470"/>
    <w:rsid w:val="004549D5"/>
    <w:rsid w:val="00454F22"/>
    <w:rsid w:val="004556CF"/>
    <w:rsid w:val="004557FF"/>
    <w:rsid w:val="00455929"/>
    <w:rsid w:val="00455D3B"/>
    <w:rsid w:val="004564BD"/>
    <w:rsid w:val="004564CA"/>
    <w:rsid w:val="004567C9"/>
    <w:rsid w:val="00457549"/>
    <w:rsid w:val="00457FB1"/>
    <w:rsid w:val="00460340"/>
    <w:rsid w:val="0046100D"/>
    <w:rsid w:val="004624C5"/>
    <w:rsid w:val="00464047"/>
    <w:rsid w:val="004640B8"/>
    <w:rsid w:val="0046413E"/>
    <w:rsid w:val="004662C9"/>
    <w:rsid w:val="004662DA"/>
    <w:rsid w:val="004671A2"/>
    <w:rsid w:val="004671D7"/>
    <w:rsid w:val="00467C40"/>
    <w:rsid w:val="00470D44"/>
    <w:rsid w:val="00471EF1"/>
    <w:rsid w:val="004725F0"/>
    <w:rsid w:val="00472FFD"/>
    <w:rsid w:val="004733F8"/>
    <w:rsid w:val="004737E5"/>
    <w:rsid w:val="00473E60"/>
    <w:rsid w:val="00473E79"/>
    <w:rsid w:val="00473FE0"/>
    <w:rsid w:val="004742B8"/>
    <w:rsid w:val="004748FD"/>
    <w:rsid w:val="0047499A"/>
    <w:rsid w:val="00474D72"/>
    <w:rsid w:val="00475562"/>
    <w:rsid w:val="004761B0"/>
    <w:rsid w:val="00476ACF"/>
    <w:rsid w:val="00477B55"/>
    <w:rsid w:val="00481BAB"/>
    <w:rsid w:val="00481C8B"/>
    <w:rsid w:val="00482FFE"/>
    <w:rsid w:val="00483ECD"/>
    <w:rsid w:val="0048424A"/>
    <w:rsid w:val="004861F1"/>
    <w:rsid w:val="0048646B"/>
    <w:rsid w:val="0048704E"/>
    <w:rsid w:val="00490718"/>
    <w:rsid w:val="00491406"/>
    <w:rsid w:val="00491B93"/>
    <w:rsid w:val="00491DAD"/>
    <w:rsid w:val="004927C3"/>
    <w:rsid w:val="00492B88"/>
    <w:rsid w:val="0049357D"/>
    <w:rsid w:val="004941A3"/>
    <w:rsid w:val="004944A0"/>
    <w:rsid w:val="00494927"/>
    <w:rsid w:val="00495812"/>
    <w:rsid w:val="0049589D"/>
    <w:rsid w:val="00496644"/>
    <w:rsid w:val="00497D7F"/>
    <w:rsid w:val="004A0635"/>
    <w:rsid w:val="004A0AC2"/>
    <w:rsid w:val="004A0CA2"/>
    <w:rsid w:val="004A1B31"/>
    <w:rsid w:val="004A1BE6"/>
    <w:rsid w:val="004A2AB7"/>
    <w:rsid w:val="004A3722"/>
    <w:rsid w:val="004A3954"/>
    <w:rsid w:val="004A3B69"/>
    <w:rsid w:val="004A3B9D"/>
    <w:rsid w:val="004A4FBB"/>
    <w:rsid w:val="004A6494"/>
    <w:rsid w:val="004A694B"/>
    <w:rsid w:val="004A6E77"/>
    <w:rsid w:val="004A77F8"/>
    <w:rsid w:val="004A7C2E"/>
    <w:rsid w:val="004B0B9E"/>
    <w:rsid w:val="004B24B2"/>
    <w:rsid w:val="004B287F"/>
    <w:rsid w:val="004B2935"/>
    <w:rsid w:val="004B3061"/>
    <w:rsid w:val="004B36D2"/>
    <w:rsid w:val="004B3980"/>
    <w:rsid w:val="004B4A20"/>
    <w:rsid w:val="004B6D14"/>
    <w:rsid w:val="004B6F9C"/>
    <w:rsid w:val="004C06B5"/>
    <w:rsid w:val="004C0DF1"/>
    <w:rsid w:val="004C1635"/>
    <w:rsid w:val="004C288F"/>
    <w:rsid w:val="004C29FC"/>
    <w:rsid w:val="004C394D"/>
    <w:rsid w:val="004C3C8A"/>
    <w:rsid w:val="004C4D9E"/>
    <w:rsid w:val="004C55BA"/>
    <w:rsid w:val="004C5BE0"/>
    <w:rsid w:val="004C5E05"/>
    <w:rsid w:val="004C6776"/>
    <w:rsid w:val="004C67F0"/>
    <w:rsid w:val="004C69D3"/>
    <w:rsid w:val="004C6A0C"/>
    <w:rsid w:val="004C6ED5"/>
    <w:rsid w:val="004C7076"/>
    <w:rsid w:val="004C7726"/>
    <w:rsid w:val="004C7F24"/>
    <w:rsid w:val="004D19FD"/>
    <w:rsid w:val="004D350F"/>
    <w:rsid w:val="004D4567"/>
    <w:rsid w:val="004D51BE"/>
    <w:rsid w:val="004D6CC8"/>
    <w:rsid w:val="004D73B1"/>
    <w:rsid w:val="004E00DC"/>
    <w:rsid w:val="004E0812"/>
    <w:rsid w:val="004E08E4"/>
    <w:rsid w:val="004E16D9"/>
    <w:rsid w:val="004E34A4"/>
    <w:rsid w:val="004E3628"/>
    <w:rsid w:val="004E3FE8"/>
    <w:rsid w:val="004E4DE4"/>
    <w:rsid w:val="004E5276"/>
    <w:rsid w:val="004E5BEE"/>
    <w:rsid w:val="004E6248"/>
    <w:rsid w:val="004E71AE"/>
    <w:rsid w:val="004E7517"/>
    <w:rsid w:val="004F09B0"/>
    <w:rsid w:val="004F29B1"/>
    <w:rsid w:val="004F3846"/>
    <w:rsid w:val="004F4674"/>
    <w:rsid w:val="004F5768"/>
    <w:rsid w:val="004F5AC8"/>
    <w:rsid w:val="004F6365"/>
    <w:rsid w:val="004F6386"/>
    <w:rsid w:val="004F75A4"/>
    <w:rsid w:val="005011A8"/>
    <w:rsid w:val="005037EF"/>
    <w:rsid w:val="00504B38"/>
    <w:rsid w:val="00504E05"/>
    <w:rsid w:val="005060C1"/>
    <w:rsid w:val="00506318"/>
    <w:rsid w:val="00506993"/>
    <w:rsid w:val="00506CE6"/>
    <w:rsid w:val="005104B9"/>
    <w:rsid w:val="00511597"/>
    <w:rsid w:val="005121DD"/>
    <w:rsid w:val="00513196"/>
    <w:rsid w:val="005135E9"/>
    <w:rsid w:val="005135EA"/>
    <w:rsid w:val="00514369"/>
    <w:rsid w:val="00514711"/>
    <w:rsid w:val="0051496E"/>
    <w:rsid w:val="005167CF"/>
    <w:rsid w:val="00517A0D"/>
    <w:rsid w:val="0052080B"/>
    <w:rsid w:val="00520F37"/>
    <w:rsid w:val="005217E3"/>
    <w:rsid w:val="00521D55"/>
    <w:rsid w:val="00521D5E"/>
    <w:rsid w:val="00522212"/>
    <w:rsid w:val="005237F5"/>
    <w:rsid w:val="00523B1D"/>
    <w:rsid w:val="0052401B"/>
    <w:rsid w:val="00524EF9"/>
    <w:rsid w:val="005251D9"/>
    <w:rsid w:val="00526B63"/>
    <w:rsid w:val="005275A2"/>
    <w:rsid w:val="005308DB"/>
    <w:rsid w:val="00531388"/>
    <w:rsid w:val="005325B5"/>
    <w:rsid w:val="0053261A"/>
    <w:rsid w:val="00533781"/>
    <w:rsid w:val="00533949"/>
    <w:rsid w:val="00533CA1"/>
    <w:rsid w:val="00533FBC"/>
    <w:rsid w:val="00534037"/>
    <w:rsid w:val="005361D9"/>
    <w:rsid w:val="00536269"/>
    <w:rsid w:val="00536CA5"/>
    <w:rsid w:val="00537670"/>
    <w:rsid w:val="00537AAF"/>
    <w:rsid w:val="005408E1"/>
    <w:rsid w:val="00540A6F"/>
    <w:rsid w:val="00542E90"/>
    <w:rsid w:val="00543DD1"/>
    <w:rsid w:val="0054538F"/>
    <w:rsid w:val="00545675"/>
    <w:rsid w:val="00545BD6"/>
    <w:rsid w:val="00545DB0"/>
    <w:rsid w:val="005463A1"/>
    <w:rsid w:val="00546979"/>
    <w:rsid w:val="00550EAC"/>
    <w:rsid w:val="00551DE7"/>
    <w:rsid w:val="005528F5"/>
    <w:rsid w:val="00552BD3"/>
    <w:rsid w:val="005534C8"/>
    <w:rsid w:val="005536FD"/>
    <w:rsid w:val="00553DF6"/>
    <w:rsid w:val="00553E69"/>
    <w:rsid w:val="00555325"/>
    <w:rsid w:val="0055589C"/>
    <w:rsid w:val="00555C98"/>
    <w:rsid w:val="00555E2C"/>
    <w:rsid w:val="00555F30"/>
    <w:rsid w:val="0055624E"/>
    <w:rsid w:val="00556928"/>
    <w:rsid w:val="00556E1E"/>
    <w:rsid w:val="0055745C"/>
    <w:rsid w:val="0056003A"/>
    <w:rsid w:val="0056194E"/>
    <w:rsid w:val="00561B9F"/>
    <w:rsid w:val="00561CE8"/>
    <w:rsid w:val="005622A4"/>
    <w:rsid w:val="005629CD"/>
    <w:rsid w:val="005632B5"/>
    <w:rsid w:val="0056466F"/>
    <w:rsid w:val="00564993"/>
    <w:rsid w:val="00572DA3"/>
    <w:rsid w:val="00573269"/>
    <w:rsid w:val="00573AB1"/>
    <w:rsid w:val="00574185"/>
    <w:rsid w:val="005742ED"/>
    <w:rsid w:val="0057446F"/>
    <w:rsid w:val="005744A8"/>
    <w:rsid w:val="00574741"/>
    <w:rsid w:val="00574C5C"/>
    <w:rsid w:val="0057575E"/>
    <w:rsid w:val="005768C0"/>
    <w:rsid w:val="00576C53"/>
    <w:rsid w:val="005778EB"/>
    <w:rsid w:val="005778FE"/>
    <w:rsid w:val="00580298"/>
    <w:rsid w:val="00580605"/>
    <w:rsid w:val="005806B7"/>
    <w:rsid w:val="0058077B"/>
    <w:rsid w:val="00580E5E"/>
    <w:rsid w:val="005811F9"/>
    <w:rsid w:val="00581D56"/>
    <w:rsid w:val="00582B2C"/>
    <w:rsid w:val="00582BEC"/>
    <w:rsid w:val="00582E2C"/>
    <w:rsid w:val="00582FB4"/>
    <w:rsid w:val="005840E7"/>
    <w:rsid w:val="00585305"/>
    <w:rsid w:val="00585663"/>
    <w:rsid w:val="00585E86"/>
    <w:rsid w:val="005866B6"/>
    <w:rsid w:val="00586A75"/>
    <w:rsid w:val="005905FD"/>
    <w:rsid w:val="0059064E"/>
    <w:rsid w:val="00590758"/>
    <w:rsid w:val="005917A9"/>
    <w:rsid w:val="00591DD2"/>
    <w:rsid w:val="0059210A"/>
    <w:rsid w:val="0059277B"/>
    <w:rsid w:val="00593004"/>
    <w:rsid w:val="005931CF"/>
    <w:rsid w:val="005934AF"/>
    <w:rsid w:val="00593CE6"/>
    <w:rsid w:val="00594449"/>
    <w:rsid w:val="005947FE"/>
    <w:rsid w:val="005949C2"/>
    <w:rsid w:val="00594BDA"/>
    <w:rsid w:val="0059519B"/>
    <w:rsid w:val="00595671"/>
    <w:rsid w:val="005969BB"/>
    <w:rsid w:val="00596AE2"/>
    <w:rsid w:val="00597558"/>
    <w:rsid w:val="005A1194"/>
    <w:rsid w:val="005A164D"/>
    <w:rsid w:val="005A1AA4"/>
    <w:rsid w:val="005A1AC7"/>
    <w:rsid w:val="005A3143"/>
    <w:rsid w:val="005A3492"/>
    <w:rsid w:val="005A3DA5"/>
    <w:rsid w:val="005A4A8C"/>
    <w:rsid w:val="005A6371"/>
    <w:rsid w:val="005A67D3"/>
    <w:rsid w:val="005A6B13"/>
    <w:rsid w:val="005A72A5"/>
    <w:rsid w:val="005A7786"/>
    <w:rsid w:val="005B1BF9"/>
    <w:rsid w:val="005B2799"/>
    <w:rsid w:val="005B3859"/>
    <w:rsid w:val="005B3BDC"/>
    <w:rsid w:val="005B3D9C"/>
    <w:rsid w:val="005B450B"/>
    <w:rsid w:val="005B53C5"/>
    <w:rsid w:val="005B569F"/>
    <w:rsid w:val="005B6BE9"/>
    <w:rsid w:val="005B6DBC"/>
    <w:rsid w:val="005B78E3"/>
    <w:rsid w:val="005B7CAE"/>
    <w:rsid w:val="005C1C56"/>
    <w:rsid w:val="005C20E3"/>
    <w:rsid w:val="005C2FA9"/>
    <w:rsid w:val="005C66DA"/>
    <w:rsid w:val="005C73F7"/>
    <w:rsid w:val="005C753C"/>
    <w:rsid w:val="005C75D1"/>
    <w:rsid w:val="005C7690"/>
    <w:rsid w:val="005D0BCF"/>
    <w:rsid w:val="005D0E34"/>
    <w:rsid w:val="005D1709"/>
    <w:rsid w:val="005D173B"/>
    <w:rsid w:val="005D1E22"/>
    <w:rsid w:val="005D1F5B"/>
    <w:rsid w:val="005D266A"/>
    <w:rsid w:val="005D2677"/>
    <w:rsid w:val="005D2A70"/>
    <w:rsid w:val="005D3718"/>
    <w:rsid w:val="005D445E"/>
    <w:rsid w:val="005D578F"/>
    <w:rsid w:val="005D7395"/>
    <w:rsid w:val="005D77A0"/>
    <w:rsid w:val="005E00F5"/>
    <w:rsid w:val="005E03B5"/>
    <w:rsid w:val="005E0FAE"/>
    <w:rsid w:val="005E16F0"/>
    <w:rsid w:val="005E1C7E"/>
    <w:rsid w:val="005E216B"/>
    <w:rsid w:val="005E2382"/>
    <w:rsid w:val="005E2A0E"/>
    <w:rsid w:val="005E2E45"/>
    <w:rsid w:val="005E32EE"/>
    <w:rsid w:val="005E3662"/>
    <w:rsid w:val="005E39AB"/>
    <w:rsid w:val="005E4802"/>
    <w:rsid w:val="005E4E6B"/>
    <w:rsid w:val="005E6EA4"/>
    <w:rsid w:val="005E73C0"/>
    <w:rsid w:val="005E7AB7"/>
    <w:rsid w:val="005F07C7"/>
    <w:rsid w:val="005F0BD1"/>
    <w:rsid w:val="005F12A8"/>
    <w:rsid w:val="005F191F"/>
    <w:rsid w:val="005F1A09"/>
    <w:rsid w:val="005F1B3B"/>
    <w:rsid w:val="005F1CB6"/>
    <w:rsid w:val="005F225C"/>
    <w:rsid w:val="005F26BB"/>
    <w:rsid w:val="005F2C8E"/>
    <w:rsid w:val="005F48F8"/>
    <w:rsid w:val="005F4A2F"/>
    <w:rsid w:val="005F5CC9"/>
    <w:rsid w:val="005F5DE1"/>
    <w:rsid w:val="005F6003"/>
    <w:rsid w:val="005F6211"/>
    <w:rsid w:val="005F77A8"/>
    <w:rsid w:val="005F7B00"/>
    <w:rsid w:val="006001CC"/>
    <w:rsid w:val="006013BC"/>
    <w:rsid w:val="006022B6"/>
    <w:rsid w:val="006025DD"/>
    <w:rsid w:val="00602C51"/>
    <w:rsid w:val="00602F3A"/>
    <w:rsid w:val="00603ABD"/>
    <w:rsid w:val="00604E02"/>
    <w:rsid w:val="00605AC2"/>
    <w:rsid w:val="006064E9"/>
    <w:rsid w:val="006067D1"/>
    <w:rsid w:val="00606A88"/>
    <w:rsid w:val="006075F0"/>
    <w:rsid w:val="00607622"/>
    <w:rsid w:val="00610C4D"/>
    <w:rsid w:val="006133C2"/>
    <w:rsid w:val="0061396D"/>
    <w:rsid w:val="00613E64"/>
    <w:rsid w:val="00613EF5"/>
    <w:rsid w:val="0061680B"/>
    <w:rsid w:val="006173E2"/>
    <w:rsid w:val="00617D82"/>
    <w:rsid w:val="00617F01"/>
    <w:rsid w:val="006204C2"/>
    <w:rsid w:val="006204FF"/>
    <w:rsid w:val="00621842"/>
    <w:rsid w:val="006220B4"/>
    <w:rsid w:val="0062281C"/>
    <w:rsid w:val="00623B21"/>
    <w:rsid w:val="006246F8"/>
    <w:rsid w:val="00631711"/>
    <w:rsid w:val="006321EA"/>
    <w:rsid w:val="0063281E"/>
    <w:rsid w:val="00632ECD"/>
    <w:rsid w:val="006337D9"/>
    <w:rsid w:val="00633887"/>
    <w:rsid w:val="00633C23"/>
    <w:rsid w:val="00634633"/>
    <w:rsid w:val="00635760"/>
    <w:rsid w:val="00635E88"/>
    <w:rsid w:val="006373E9"/>
    <w:rsid w:val="00640A62"/>
    <w:rsid w:val="00641627"/>
    <w:rsid w:val="00641F42"/>
    <w:rsid w:val="006437FC"/>
    <w:rsid w:val="006438FB"/>
    <w:rsid w:val="0064401D"/>
    <w:rsid w:val="00644141"/>
    <w:rsid w:val="006452FF"/>
    <w:rsid w:val="00645E5B"/>
    <w:rsid w:val="00647B05"/>
    <w:rsid w:val="00647B3B"/>
    <w:rsid w:val="00650075"/>
    <w:rsid w:val="006503AA"/>
    <w:rsid w:val="00651D98"/>
    <w:rsid w:val="00652392"/>
    <w:rsid w:val="00652CAB"/>
    <w:rsid w:val="00652F5D"/>
    <w:rsid w:val="00653184"/>
    <w:rsid w:val="00653189"/>
    <w:rsid w:val="0065360D"/>
    <w:rsid w:val="006549C3"/>
    <w:rsid w:val="00654FC4"/>
    <w:rsid w:val="00656903"/>
    <w:rsid w:val="00656C3D"/>
    <w:rsid w:val="00657216"/>
    <w:rsid w:val="0065790C"/>
    <w:rsid w:val="00657AD5"/>
    <w:rsid w:val="00661AAC"/>
    <w:rsid w:val="00661D5D"/>
    <w:rsid w:val="006622D4"/>
    <w:rsid w:val="006628CB"/>
    <w:rsid w:val="00662B02"/>
    <w:rsid w:val="006630F5"/>
    <w:rsid w:val="0066499D"/>
    <w:rsid w:val="0066526C"/>
    <w:rsid w:val="0066597F"/>
    <w:rsid w:val="00666A20"/>
    <w:rsid w:val="00667057"/>
    <w:rsid w:val="0066726F"/>
    <w:rsid w:val="006701FC"/>
    <w:rsid w:val="00670787"/>
    <w:rsid w:val="00670A8E"/>
    <w:rsid w:val="00671330"/>
    <w:rsid w:val="00671983"/>
    <w:rsid w:val="00671D51"/>
    <w:rsid w:val="006726E7"/>
    <w:rsid w:val="00672B34"/>
    <w:rsid w:val="00674189"/>
    <w:rsid w:val="006749D2"/>
    <w:rsid w:val="00674BC9"/>
    <w:rsid w:val="00676349"/>
    <w:rsid w:val="00676356"/>
    <w:rsid w:val="006767A4"/>
    <w:rsid w:val="00676A43"/>
    <w:rsid w:val="00677061"/>
    <w:rsid w:val="00681372"/>
    <w:rsid w:val="0068241E"/>
    <w:rsid w:val="00683431"/>
    <w:rsid w:val="0068451E"/>
    <w:rsid w:val="00684697"/>
    <w:rsid w:val="00684B37"/>
    <w:rsid w:val="00684E25"/>
    <w:rsid w:val="006857EB"/>
    <w:rsid w:val="0069028E"/>
    <w:rsid w:val="0069159B"/>
    <w:rsid w:val="00691EAE"/>
    <w:rsid w:val="00696487"/>
    <w:rsid w:val="00696EB8"/>
    <w:rsid w:val="006A015E"/>
    <w:rsid w:val="006A0FC7"/>
    <w:rsid w:val="006A1B40"/>
    <w:rsid w:val="006A1BE4"/>
    <w:rsid w:val="006A2701"/>
    <w:rsid w:val="006A37E2"/>
    <w:rsid w:val="006A3A3E"/>
    <w:rsid w:val="006A489C"/>
    <w:rsid w:val="006A53FF"/>
    <w:rsid w:val="006A5796"/>
    <w:rsid w:val="006A5B5D"/>
    <w:rsid w:val="006A6230"/>
    <w:rsid w:val="006A63EB"/>
    <w:rsid w:val="006A65FA"/>
    <w:rsid w:val="006A78A5"/>
    <w:rsid w:val="006A7E51"/>
    <w:rsid w:val="006B05AD"/>
    <w:rsid w:val="006B0A19"/>
    <w:rsid w:val="006B1889"/>
    <w:rsid w:val="006B1F56"/>
    <w:rsid w:val="006B2FA1"/>
    <w:rsid w:val="006B3202"/>
    <w:rsid w:val="006B39A8"/>
    <w:rsid w:val="006B3BF2"/>
    <w:rsid w:val="006B5217"/>
    <w:rsid w:val="006B533D"/>
    <w:rsid w:val="006B534A"/>
    <w:rsid w:val="006B5FBC"/>
    <w:rsid w:val="006B61F9"/>
    <w:rsid w:val="006B7ED7"/>
    <w:rsid w:val="006C0589"/>
    <w:rsid w:val="006C0952"/>
    <w:rsid w:val="006C2BD6"/>
    <w:rsid w:val="006C2E9F"/>
    <w:rsid w:val="006C31EB"/>
    <w:rsid w:val="006C3963"/>
    <w:rsid w:val="006C3E6F"/>
    <w:rsid w:val="006C4523"/>
    <w:rsid w:val="006C4DE8"/>
    <w:rsid w:val="006C5361"/>
    <w:rsid w:val="006C6317"/>
    <w:rsid w:val="006C66C0"/>
    <w:rsid w:val="006C6D02"/>
    <w:rsid w:val="006C6DFE"/>
    <w:rsid w:val="006C7848"/>
    <w:rsid w:val="006C7F41"/>
    <w:rsid w:val="006D08C6"/>
    <w:rsid w:val="006D11B9"/>
    <w:rsid w:val="006D1910"/>
    <w:rsid w:val="006D1E49"/>
    <w:rsid w:val="006D229E"/>
    <w:rsid w:val="006D26FA"/>
    <w:rsid w:val="006D312F"/>
    <w:rsid w:val="006D3140"/>
    <w:rsid w:val="006D32AD"/>
    <w:rsid w:val="006D362D"/>
    <w:rsid w:val="006D3A1B"/>
    <w:rsid w:val="006D3B69"/>
    <w:rsid w:val="006D44D5"/>
    <w:rsid w:val="006D5510"/>
    <w:rsid w:val="006D5694"/>
    <w:rsid w:val="006D5BE3"/>
    <w:rsid w:val="006D6B14"/>
    <w:rsid w:val="006D7DF8"/>
    <w:rsid w:val="006E021F"/>
    <w:rsid w:val="006E147C"/>
    <w:rsid w:val="006E1D87"/>
    <w:rsid w:val="006E23BF"/>
    <w:rsid w:val="006E2A38"/>
    <w:rsid w:val="006E2FC8"/>
    <w:rsid w:val="006E3276"/>
    <w:rsid w:val="006E546B"/>
    <w:rsid w:val="006E5586"/>
    <w:rsid w:val="006E5D1D"/>
    <w:rsid w:val="006E632E"/>
    <w:rsid w:val="006E6634"/>
    <w:rsid w:val="006E69FA"/>
    <w:rsid w:val="006E7565"/>
    <w:rsid w:val="006F0361"/>
    <w:rsid w:val="006F0B8E"/>
    <w:rsid w:val="006F0F5A"/>
    <w:rsid w:val="006F219B"/>
    <w:rsid w:val="006F2DB3"/>
    <w:rsid w:val="006F3AAA"/>
    <w:rsid w:val="006F4311"/>
    <w:rsid w:val="006F458B"/>
    <w:rsid w:val="006F470D"/>
    <w:rsid w:val="006F64E5"/>
    <w:rsid w:val="006F69F6"/>
    <w:rsid w:val="006F726B"/>
    <w:rsid w:val="006F75C5"/>
    <w:rsid w:val="007028D8"/>
    <w:rsid w:val="007039FA"/>
    <w:rsid w:val="00703CBD"/>
    <w:rsid w:val="007040D0"/>
    <w:rsid w:val="00704958"/>
    <w:rsid w:val="00704DE8"/>
    <w:rsid w:val="007054F3"/>
    <w:rsid w:val="00705686"/>
    <w:rsid w:val="00706027"/>
    <w:rsid w:val="00706846"/>
    <w:rsid w:val="00707449"/>
    <w:rsid w:val="0070744A"/>
    <w:rsid w:val="00710BD6"/>
    <w:rsid w:val="00710D84"/>
    <w:rsid w:val="00710F29"/>
    <w:rsid w:val="00710FC3"/>
    <w:rsid w:val="00711476"/>
    <w:rsid w:val="00711EA1"/>
    <w:rsid w:val="00712BA4"/>
    <w:rsid w:val="00712F94"/>
    <w:rsid w:val="00712FF1"/>
    <w:rsid w:val="00714276"/>
    <w:rsid w:val="007142DA"/>
    <w:rsid w:val="00714CAC"/>
    <w:rsid w:val="0071550F"/>
    <w:rsid w:val="007155E9"/>
    <w:rsid w:val="007157D7"/>
    <w:rsid w:val="00716329"/>
    <w:rsid w:val="007163B0"/>
    <w:rsid w:val="00717307"/>
    <w:rsid w:val="00717634"/>
    <w:rsid w:val="007202C4"/>
    <w:rsid w:val="00721871"/>
    <w:rsid w:val="007219AF"/>
    <w:rsid w:val="00723014"/>
    <w:rsid w:val="007236E7"/>
    <w:rsid w:val="00723B52"/>
    <w:rsid w:val="00724DE4"/>
    <w:rsid w:val="00724F9D"/>
    <w:rsid w:val="00725BD0"/>
    <w:rsid w:val="00725FAC"/>
    <w:rsid w:val="00726712"/>
    <w:rsid w:val="00726FCD"/>
    <w:rsid w:val="00727029"/>
    <w:rsid w:val="00727F15"/>
    <w:rsid w:val="0073003C"/>
    <w:rsid w:val="00730FCF"/>
    <w:rsid w:val="00731889"/>
    <w:rsid w:val="00731F7E"/>
    <w:rsid w:val="00732657"/>
    <w:rsid w:val="007331A3"/>
    <w:rsid w:val="0073356E"/>
    <w:rsid w:val="00733911"/>
    <w:rsid w:val="007347A7"/>
    <w:rsid w:val="007351F7"/>
    <w:rsid w:val="00735EFB"/>
    <w:rsid w:val="00736838"/>
    <w:rsid w:val="00741AF8"/>
    <w:rsid w:val="007427A4"/>
    <w:rsid w:val="00742A5E"/>
    <w:rsid w:val="0074334A"/>
    <w:rsid w:val="0074369F"/>
    <w:rsid w:val="007437A5"/>
    <w:rsid w:val="0074438F"/>
    <w:rsid w:val="007443AD"/>
    <w:rsid w:val="00745E7D"/>
    <w:rsid w:val="0074781D"/>
    <w:rsid w:val="00752551"/>
    <w:rsid w:val="00752A9E"/>
    <w:rsid w:val="007534B9"/>
    <w:rsid w:val="007538BE"/>
    <w:rsid w:val="00753949"/>
    <w:rsid w:val="007541F5"/>
    <w:rsid w:val="0075481E"/>
    <w:rsid w:val="0075564A"/>
    <w:rsid w:val="007556FC"/>
    <w:rsid w:val="0075587F"/>
    <w:rsid w:val="00755A45"/>
    <w:rsid w:val="00756B82"/>
    <w:rsid w:val="00760483"/>
    <w:rsid w:val="00760B1F"/>
    <w:rsid w:val="00760B6A"/>
    <w:rsid w:val="0076790F"/>
    <w:rsid w:val="00767D2F"/>
    <w:rsid w:val="00770842"/>
    <w:rsid w:val="007713BE"/>
    <w:rsid w:val="00771621"/>
    <w:rsid w:val="007731D3"/>
    <w:rsid w:val="0077358E"/>
    <w:rsid w:val="007738A9"/>
    <w:rsid w:val="00773BC3"/>
    <w:rsid w:val="00773EED"/>
    <w:rsid w:val="007741BB"/>
    <w:rsid w:val="00774FE6"/>
    <w:rsid w:val="00775B36"/>
    <w:rsid w:val="00775C53"/>
    <w:rsid w:val="00776BB1"/>
    <w:rsid w:val="00776DFA"/>
    <w:rsid w:val="00777F76"/>
    <w:rsid w:val="00780C7C"/>
    <w:rsid w:val="00780C8B"/>
    <w:rsid w:val="0078187F"/>
    <w:rsid w:val="00781E56"/>
    <w:rsid w:val="0078246C"/>
    <w:rsid w:val="007824D4"/>
    <w:rsid w:val="00783219"/>
    <w:rsid w:val="007836DB"/>
    <w:rsid w:val="0078583A"/>
    <w:rsid w:val="00785915"/>
    <w:rsid w:val="00785A73"/>
    <w:rsid w:val="00785CFD"/>
    <w:rsid w:val="00785FCF"/>
    <w:rsid w:val="007874A1"/>
    <w:rsid w:val="00790F83"/>
    <w:rsid w:val="00791246"/>
    <w:rsid w:val="007915B1"/>
    <w:rsid w:val="00791EB7"/>
    <w:rsid w:val="007921FF"/>
    <w:rsid w:val="00792CCD"/>
    <w:rsid w:val="007938A0"/>
    <w:rsid w:val="007954C8"/>
    <w:rsid w:val="007954F5"/>
    <w:rsid w:val="007A127E"/>
    <w:rsid w:val="007A12A8"/>
    <w:rsid w:val="007A138F"/>
    <w:rsid w:val="007A14EF"/>
    <w:rsid w:val="007A3BC4"/>
    <w:rsid w:val="007A4936"/>
    <w:rsid w:val="007A4C99"/>
    <w:rsid w:val="007A69B0"/>
    <w:rsid w:val="007A6AE8"/>
    <w:rsid w:val="007A6D6D"/>
    <w:rsid w:val="007A6F81"/>
    <w:rsid w:val="007A72B2"/>
    <w:rsid w:val="007A7409"/>
    <w:rsid w:val="007A7B43"/>
    <w:rsid w:val="007B0547"/>
    <w:rsid w:val="007B111A"/>
    <w:rsid w:val="007B1262"/>
    <w:rsid w:val="007B1845"/>
    <w:rsid w:val="007B1D1A"/>
    <w:rsid w:val="007B385D"/>
    <w:rsid w:val="007B3A98"/>
    <w:rsid w:val="007B3C9D"/>
    <w:rsid w:val="007B3EDD"/>
    <w:rsid w:val="007B524A"/>
    <w:rsid w:val="007B66E4"/>
    <w:rsid w:val="007B67C9"/>
    <w:rsid w:val="007B70B3"/>
    <w:rsid w:val="007C08EF"/>
    <w:rsid w:val="007C0E72"/>
    <w:rsid w:val="007C1477"/>
    <w:rsid w:val="007C1BD8"/>
    <w:rsid w:val="007C1D4B"/>
    <w:rsid w:val="007C2011"/>
    <w:rsid w:val="007C2691"/>
    <w:rsid w:val="007C2EE5"/>
    <w:rsid w:val="007C37D2"/>
    <w:rsid w:val="007C5787"/>
    <w:rsid w:val="007C77F2"/>
    <w:rsid w:val="007D15DF"/>
    <w:rsid w:val="007D1975"/>
    <w:rsid w:val="007D1ABA"/>
    <w:rsid w:val="007D3D47"/>
    <w:rsid w:val="007D47CF"/>
    <w:rsid w:val="007D5D46"/>
    <w:rsid w:val="007D6742"/>
    <w:rsid w:val="007D6E24"/>
    <w:rsid w:val="007E00EF"/>
    <w:rsid w:val="007E04FE"/>
    <w:rsid w:val="007E0B58"/>
    <w:rsid w:val="007E1684"/>
    <w:rsid w:val="007E23BD"/>
    <w:rsid w:val="007E2F66"/>
    <w:rsid w:val="007E465E"/>
    <w:rsid w:val="007E4969"/>
    <w:rsid w:val="007E4A8D"/>
    <w:rsid w:val="007E56EC"/>
    <w:rsid w:val="007E5C56"/>
    <w:rsid w:val="007E5DF3"/>
    <w:rsid w:val="007E5E3C"/>
    <w:rsid w:val="007E5EB9"/>
    <w:rsid w:val="007E6D94"/>
    <w:rsid w:val="007E72D4"/>
    <w:rsid w:val="007F07EC"/>
    <w:rsid w:val="007F16B2"/>
    <w:rsid w:val="007F2125"/>
    <w:rsid w:val="007F255C"/>
    <w:rsid w:val="007F3CD0"/>
    <w:rsid w:val="007F3FC1"/>
    <w:rsid w:val="007F4B36"/>
    <w:rsid w:val="007F4EA8"/>
    <w:rsid w:val="007F77D1"/>
    <w:rsid w:val="007F7CC5"/>
    <w:rsid w:val="007F7F7E"/>
    <w:rsid w:val="008005C8"/>
    <w:rsid w:val="008009C2"/>
    <w:rsid w:val="008013A9"/>
    <w:rsid w:val="008013C5"/>
    <w:rsid w:val="008028B9"/>
    <w:rsid w:val="00802A27"/>
    <w:rsid w:val="00802B42"/>
    <w:rsid w:val="00803257"/>
    <w:rsid w:val="008035BB"/>
    <w:rsid w:val="0080380F"/>
    <w:rsid w:val="00803A8F"/>
    <w:rsid w:val="00805FF8"/>
    <w:rsid w:val="00806AF6"/>
    <w:rsid w:val="0080775E"/>
    <w:rsid w:val="008100FD"/>
    <w:rsid w:val="008109F9"/>
    <w:rsid w:val="00810CEC"/>
    <w:rsid w:val="008132F1"/>
    <w:rsid w:val="00813E3A"/>
    <w:rsid w:val="00813E8C"/>
    <w:rsid w:val="00813F7D"/>
    <w:rsid w:val="00814660"/>
    <w:rsid w:val="00814C53"/>
    <w:rsid w:val="0081595E"/>
    <w:rsid w:val="00816798"/>
    <w:rsid w:val="00816B52"/>
    <w:rsid w:val="0081780D"/>
    <w:rsid w:val="00817C3F"/>
    <w:rsid w:val="00817C70"/>
    <w:rsid w:val="00820279"/>
    <w:rsid w:val="008202C6"/>
    <w:rsid w:val="008203C3"/>
    <w:rsid w:val="008203C5"/>
    <w:rsid w:val="00820E61"/>
    <w:rsid w:val="00821B2D"/>
    <w:rsid w:val="00821B82"/>
    <w:rsid w:val="008221E2"/>
    <w:rsid w:val="00822642"/>
    <w:rsid w:val="0082264B"/>
    <w:rsid w:val="00822FE4"/>
    <w:rsid w:val="00823F7E"/>
    <w:rsid w:val="00825969"/>
    <w:rsid w:val="00825C15"/>
    <w:rsid w:val="00825E0C"/>
    <w:rsid w:val="00830799"/>
    <w:rsid w:val="0083096B"/>
    <w:rsid w:val="00830A85"/>
    <w:rsid w:val="00830E5D"/>
    <w:rsid w:val="00832B53"/>
    <w:rsid w:val="00832F7F"/>
    <w:rsid w:val="008333FD"/>
    <w:rsid w:val="00833C0D"/>
    <w:rsid w:val="008341FC"/>
    <w:rsid w:val="008344AF"/>
    <w:rsid w:val="0083602D"/>
    <w:rsid w:val="00836227"/>
    <w:rsid w:val="008367B1"/>
    <w:rsid w:val="00836A67"/>
    <w:rsid w:val="00836D61"/>
    <w:rsid w:val="0083731A"/>
    <w:rsid w:val="0084041C"/>
    <w:rsid w:val="00841006"/>
    <w:rsid w:val="0084112E"/>
    <w:rsid w:val="00841F63"/>
    <w:rsid w:val="00842829"/>
    <w:rsid w:val="00842C2B"/>
    <w:rsid w:val="00842CD8"/>
    <w:rsid w:val="00842E4A"/>
    <w:rsid w:val="0084362D"/>
    <w:rsid w:val="0084365F"/>
    <w:rsid w:val="00844BF5"/>
    <w:rsid w:val="00844D8B"/>
    <w:rsid w:val="008458E3"/>
    <w:rsid w:val="00845F2D"/>
    <w:rsid w:val="00846495"/>
    <w:rsid w:val="00847950"/>
    <w:rsid w:val="00850489"/>
    <w:rsid w:val="008505B2"/>
    <w:rsid w:val="00850DBC"/>
    <w:rsid w:val="00851B7F"/>
    <w:rsid w:val="008521BE"/>
    <w:rsid w:val="00852259"/>
    <w:rsid w:val="00852545"/>
    <w:rsid w:val="00852816"/>
    <w:rsid w:val="008529E5"/>
    <w:rsid w:val="00852BB4"/>
    <w:rsid w:val="008537D4"/>
    <w:rsid w:val="00855EFB"/>
    <w:rsid w:val="008571A6"/>
    <w:rsid w:val="008571CC"/>
    <w:rsid w:val="008572E6"/>
    <w:rsid w:val="008578F2"/>
    <w:rsid w:val="0086069E"/>
    <w:rsid w:val="008614DA"/>
    <w:rsid w:val="00862CED"/>
    <w:rsid w:val="00863DC7"/>
    <w:rsid w:val="0086444C"/>
    <w:rsid w:val="00864EA6"/>
    <w:rsid w:val="00865544"/>
    <w:rsid w:val="00870276"/>
    <w:rsid w:val="0087132D"/>
    <w:rsid w:val="008714C6"/>
    <w:rsid w:val="00871DCB"/>
    <w:rsid w:val="00872303"/>
    <w:rsid w:val="00872769"/>
    <w:rsid w:val="0087360B"/>
    <w:rsid w:val="008737D5"/>
    <w:rsid w:val="008738ED"/>
    <w:rsid w:val="00873AC1"/>
    <w:rsid w:val="00873C52"/>
    <w:rsid w:val="00873F8C"/>
    <w:rsid w:val="00873FA3"/>
    <w:rsid w:val="00874151"/>
    <w:rsid w:val="00874260"/>
    <w:rsid w:val="0087520B"/>
    <w:rsid w:val="00875482"/>
    <w:rsid w:val="00875CD0"/>
    <w:rsid w:val="008778C9"/>
    <w:rsid w:val="00880998"/>
    <w:rsid w:val="00882DC7"/>
    <w:rsid w:val="0088309D"/>
    <w:rsid w:val="00883276"/>
    <w:rsid w:val="00883E07"/>
    <w:rsid w:val="00885C4D"/>
    <w:rsid w:val="00885E48"/>
    <w:rsid w:val="0088608C"/>
    <w:rsid w:val="008868F6"/>
    <w:rsid w:val="0088693B"/>
    <w:rsid w:val="00886966"/>
    <w:rsid w:val="008876FB"/>
    <w:rsid w:val="008879BB"/>
    <w:rsid w:val="00891B12"/>
    <w:rsid w:val="00891FCE"/>
    <w:rsid w:val="008939A1"/>
    <w:rsid w:val="008942D1"/>
    <w:rsid w:val="00894D0A"/>
    <w:rsid w:val="00894FC2"/>
    <w:rsid w:val="00895429"/>
    <w:rsid w:val="00895B59"/>
    <w:rsid w:val="00896871"/>
    <w:rsid w:val="008978EE"/>
    <w:rsid w:val="00897C35"/>
    <w:rsid w:val="008A03F4"/>
    <w:rsid w:val="008A115C"/>
    <w:rsid w:val="008A133C"/>
    <w:rsid w:val="008A1CFF"/>
    <w:rsid w:val="008A243F"/>
    <w:rsid w:val="008A29CD"/>
    <w:rsid w:val="008A3D74"/>
    <w:rsid w:val="008A4D21"/>
    <w:rsid w:val="008A5F89"/>
    <w:rsid w:val="008A6229"/>
    <w:rsid w:val="008A662E"/>
    <w:rsid w:val="008A6AE3"/>
    <w:rsid w:val="008A7C96"/>
    <w:rsid w:val="008B0214"/>
    <w:rsid w:val="008B02EB"/>
    <w:rsid w:val="008B0C30"/>
    <w:rsid w:val="008B1B52"/>
    <w:rsid w:val="008B2A36"/>
    <w:rsid w:val="008B2A9C"/>
    <w:rsid w:val="008B3180"/>
    <w:rsid w:val="008B3353"/>
    <w:rsid w:val="008B40F1"/>
    <w:rsid w:val="008B4D12"/>
    <w:rsid w:val="008B55F4"/>
    <w:rsid w:val="008B64B6"/>
    <w:rsid w:val="008B66FD"/>
    <w:rsid w:val="008B6A99"/>
    <w:rsid w:val="008B6C3D"/>
    <w:rsid w:val="008B7312"/>
    <w:rsid w:val="008B773D"/>
    <w:rsid w:val="008C1735"/>
    <w:rsid w:val="008C1952"/>
    <w:rsid w:val="008C1BF8"/>
    <w:rsid w:val="008C1F43"/>
    <w:rsid w:val="008C273F"/>
    <w:rsid w:val="008C2A36"/>
    <w:rsid w:val="008C3CA7"/>
    <w:rsid w:val="008C3EFD"/>
    <w:rsid w:val="008C4B4D"/>
    <w:rsid w:val="008C4D0F"/>
    <w:rsid w:val="008C5443"/>
    <w:rsid w:val="008C62C3"/>
    <w:rsid w:val="008C66CB"/>
    <w:rsid w:val="008C7850"/>
    <w:rsid w:val="008C7DDB"/>
    <w:rsid w:val="008D0509"/>
    <w:rsid w:val="008D0594"/>
    <w:rsid w:val="008D0AF1"/>
    <w:rsid w:val="008D0E90"/>
    <w:rsid w:val="008D2075"/>
    <w:rsid w:val="008D2C89"/>
    <w:rsid w:val="008D38E2"/>
    <w:rsid w:val="008D4785"/>
    <w:rsid w:val="008D547B"/>
    <w:rsid w:val="008D5E59"/>
    <w:rsid w:val="008E070E"/>
    <w:rsid w:val="008E0D31"/>
    <w:rsid w:val="008E0DED"/>
    <w:rsid w:val="008E0EF7"/>
    <w:rsid w:val="008E1ED0"/>
    <w:rsid w:val="008E1F81"/>
    <w:rsid w:val="008E25F6"/>
    <w:rsid w:val="008E3816"/>
    <w:rsid w:val="008E3EA4"/>
    <w:rsid w:val="008E4803"/>
    <w:rsid w:val="008E48A1"/>
    <w:rsid w:val="008E4D51"/>
    <w:rsid w:val="008E5105"/>
    <w:rsid w:val="008E5A6B"/>
    <w:rsid w:val="008E7708"/>
    <w:rsid w:val="008E78C7"/>
    <w:rsid w:val="008E7A7A"/>
    <w:rsid w:val="008E7E53"/>
    <w:rsid w:val="008F19B0"/>
    <w:rsid w:val="008F1DB9"/>
    <w:rsid w:val="008F2258"/>
    <w:rsid w:val="008F2C41"/>
    <w:rsid w:val="008F40A3"/>
    <w:rsid w:val="008F74E2"/>
    <w:rsid w:val="0090211F"/>
    <w:rsid w:val="00903B0F"/>
    <w:rsid w:val="00903DD4"/>
    <w:rsid w:val="009059B9"/>
    <w:rsid w:val="009060F9"/>
    <w:rsid w:val="00910145"/>
    <w:rsid w:val="009101F0"/>
    <w:rsid w:val="009103EC"/>
    <w:rsid w:val="00910722"/>
    <w:rsid w:val="00910E83"/>
    <w:rsid w:val="00911541"/>
    <w:rsid w:val="00911F78"/>
    <w:rsid w:val="00912372"/>
    <w:rsid w:val="00913117"/>
    <w:rsid w:val="00914179"/>
    <w:rsid w:val="00915158"/>
    <w:rsid w:val="00915815"/>
    <w:rsid w:val="00916001"/>
    <w:rsid w:val="009171CA"/>
    <w:rsid w:val="0091740E"/>
    <w:rsid w:val="00917718"/>
    <w:rsid w:val="00920C0A"/>
    <w:rsid w:val="00920E4D"/>
    <w:rsid w:val="0092188E"/>
    <w:rsid w:val="00922F9D"/>
    <w:rsid w:val="00923342"/>
    <w:rsid w:val="00923C6B"/>
    <w:rsid w:val="00923CAD"/>
    <w:rsid w:val="00923EC1"/>
    <w:rsid w:val="0092561A"/>
    <w:rsid w:val="0092621F"/>
    <w:rsid w:val="00926430"/>
    <w:rsid w:val="00926819"/>
    <w:rsid w:val="00926AEA"/>
    <w:rsid w:val="00926DBC"/>
    <w:rsid w:val="00927271"/>
    <w:rsid w:val="009301B6"/>
    <w:rsid w:val="009314ED"/>
    <w:rsid w:val="0093237F"/>
    <w:rsid w:val="00932BC7"/>
    <w:rsid w:val="00932C76"/>
    <w:rsid w:val="00933632"/>
    <w:rsid w:val="009338CE"/>
    <w:rsid w:val="00933914"/>
    <w:rsid w:val="00933F19"/>
    <w:rsid w:val="009356E3"/>
    <w:rsid w:val="00935E7C"/>
    <w:rsid w:val="00935EBE"/>
    <w:rsid w:val="009368E5"/>
    <w:rsid w:val="00942B46"/>
    <w:rsid w:val="0094306D"/>
    <w:rsid w:val="009436BE"/>
    <w:rsid w:val="0094578F"/>
    <w:rsid w:val="0094653D"/>
    <w:rsid w:val="00946801"/>
    <w:rsid w:val="00946E09"/>
    <w:rsid w:val="0094703B"/>
    <w:rsid w:val="00947C32"/>
    <w:rsid w:val="00950432"/>
    <w:rsid w:val="009511F9"/>
    <w:rsid w:val="00953F85"/>
    <w:rsid w:val="0095423B"/>
    <w:rsid w:val="00954649"/>
    <w:rsid w:val="009550FC"/>
    <w:rsid w:val="00955745"/>
    <w:rsid w:val="00956807"/>
    <w:rsid w:val="00956E62"/>
    <w:rsid w:val="00956F36"/>
    <w:rsid w:val="00957132"/>
    <w:rsid w:val="0095737D"/>
    <w:rsid w:val="0095775B"/>
    <w:rsid w:val="0096020E"/>
    <w:rsid w:val="009605F1"/>
    <w:rsid w:val="00960C5F"/>
    <w:rsid w:val="00961620"/>
    <w:rsid w:val="0096215C"/>
    <w:rsid w:val="00962235"/>
    <w:rsid w:val="00962AA3"/>
    <w:rsid w:val="00962E2E"/>
    <w:rsid w:val="009630A8"/>
    <w:rsid w:val="00963D2B"/>
    <w:rsid w:val="00963E53"/>
    <w:rsid w:val="00963F3D"/>
    <w:rsid w:val="00964099"/>
    <w:rsid w:val="009652B5"/>
    <w:rsid w:val="00966239"/>
    <w:rsid w:val="009665C5"/>
    <w:rsid w:val="00966692"/>
    <w:rsid w:val="00966B9D"/>
    <w:rsid w:val="00967FCA"/>
    <w:rsid w:val="00970304"/>
    <w:rsid w:val="00972A43"/>
    <w:rsid w:val="00972F11"/>
    <w:rsid w:val="00974749"/>
    <w:rsid w:val="00974867"/>
    <w:rsid w:val="00974F27"/>
    <w:rsid w:val="0097502B"/>
    <w:rsid w:val="009755B2"/>
    <w:rsid w:val="0097685B"/>
    <w:rsid w:val="00977256"/>
    <w:rsid w:val="00980D29"/>
    <w:rsid w:val="00980D85"/>
    <w:rsid w:val="00981AB0"/>
    <w:rsid w:val="00982159"/>
    <w:rsid w:val="00984A12"/>
    <w:rsid w:val="00985C21"/>
    <w:rsid w:val="00985D6A"/>
    <w:rsid w:val="00985F1B"/>
    <w:rsid w:val="0098637C"/>
    <w:rsid w:val="00986EB1"/>
    <w:rsid w:val="0098766F"/>
    <w:rsid w:val="009877B3"/>
    <w:rsid w:val="00990D7E"/>
    <w:rsid w:val="00992C55"/>
    <w:rsid w:val="00992DAF"/>
    <w:rsid w:val="00993FBF"/>
    <w:rsid w:val="00995F71"/>
    <w:rsid w:val="009961A9"/>
    <w:rsid w:val="009962B5"/>
    <w:rsid w:val="00996A1C"/>
    <w:rsid w:val="00997745"/>
    <w:rsid w:val="009A18F2"/>
    <w:rsid w:val="009A1FE1"/>
    <w:rsid w:val="009A2BD4"/>
    <w:rsid w:val="009A3322"/>
    <w:rsid w:val="009A3424"/>
    <w:rsid w:val="009A388B"/>
    <w:rsid w:val="009A40F7"/>
    <w:rsid w:val="009A413C"/>
    <w:rsid w:val="009A4543"/>
    <w:rsid w:val="009A5D46"/>
    <w:rsid w:val="009A60D6"/>
    <w:rsid w:val="009A640F"/>
    <w:rsid w:val="009A666D"/>
    <w:rsid w:val="009A6826"/>
    <w:rsid w:val="009A6DDC"/>
    <w:rsid w:val="009A7199"/>
    <w:rsid w:val="009A7795"/>
    <w:rsid w:val="009A77AB"/>
    <w:rsid w:val="009B06A5"/>
    <w:rsid w:val="009B0B9E"/>
    <w:rsid w:val="009B12BB"/>
    <w:rsid w:val="009B1306"/>
    <w:rsid w:val="009B23EA"/>
    <w:rsid w:val="009B2A1B"/>
    <w:rsid w:val="009B4D06"/>
    <w:rsid w:val="009B5BC5"/>
    <w:rsid w:val="009B5DBC"/>
    <w:rsid w:val="009B6717"/>
    <w:rsid w:val="009B74DF"/>
    <w:rsid w:val="009B7950"/>
    <w:rsid w:val="009C00AB"/>
    <w:rsid w:val="009C0273"/>
    <w:rsid w:val="009C13B8"/>
    <w:rsid w:val="009C16F8"/>
    <w:rsid w:val="009C2267"/>
    <w:rsid w:val="009C265D"/>
    <w:rsid w:val="009C3495"/>
    <w:rsid w:val="009C39E0"/>
    <w:rsid w:val="009C3B1F"/>
    <w:rsid w:val="009C3EE8"/>
    <w:rsid w:val="009C448B"/>
    <w:rsid w:val="009D0A35"/>
    <w:rsid w:val="009D120D"/>
    <w:rsid w:val="009D1622"/>
    <w:rsid w:val="009D2ED0"/>
    <w:rsid w:val="009D3F22"/>
    <w:rsid w:val="009D4583"/>
    <w:rsid w:val="009D5685"/>
    <w:rsid w:val="009D577B"/>
    <w:rsid w:val="009D7822"/>
    <w:rsid w:val="009D7EF2"/>
    <w:rsid w:val="009E043B"/>
    <w:rsid w:val="009E220E"/>
    <w:rsid w:val="009E265C"/>
    <w:rsid w:val="009E27D6"/>
    <w:rsid w:val="009E36D1"/>
    <w:rsid w:val="009E3CFE"/>
    <w:rsid w:val="009E4C62"/>
    <w:rsid w:val="009E534C"/>
    <w:rsid w:val="009E5439"/>
    <w:rsid w:val="009E6AF4"/>
    <w:rsid w:val="009E6B52"/>
    <w:rsid w:val="009E7D1C"/>
    <w:rsid w:val="009F095A"/>
    <w:rsid w:val="009F0EA9"/>
    <w:rsid w:val="009F20F0"/>
    <w:rsid w:val="009F21FF"/>
    <w:rsid w:val="009F2A59"/>
    <w:rsid w:val="009F3063"/>
    <w:rsid w:val="009F38F6"/>
    <w:rsid w:val="009F40E1"/>
    <w:rsid w:val="009F4215"/>
    <w:rsid w:val="009F563F"/>
    <w:rsid w:val="009F5EA4"/>
    <w:rsid w:val="009F61C3"/>
    <w:rsid w:val="009F6645"/>
    <w:rsid w:val="009F6BBC"/>
    <w:rsid w:val="009F70AF"/>
    <w:rsid w:val="009F74E9"/>
    <w:rsid w:val="009F78D6"/>
    <w:rsid w:val="00A004F5"/>
    <w:rsid w:val="00A01DD2"/>
    <w:rsid w:val="00A02938"/>
    <w:rsid w:val="00A02B47"/>
    <w:rsid w:val="00A034A0"/>
    <w:rsid w:val="00A03742"/>
    <w:rsid w:val="00A04644"/>
    <w:rsid w:val="00A05025"/>
    <w:rsid w:val="00A07170"/>
    <w:rsid w:val="00A07597"/>
    <w:rsid w:val="00A07820"/>
    <w:rsid w:val="00A07957"/>
    <w:rsid w:val="00A07CA1"/>
    <w:rsid w:val="00A101C6"/>
    <w:rsid w:val="00A10480"/>
    <w:rsid w:val="00A105E3"/>
    <w:rsid w:val="00A10798"/>
    <w:rsid w:val="00A10E3C"/>
    <w:rsid w:val="00A11343"/>
    <w:rsid w:val="00A11916"/>
    <w:rsid w:val="00A11C88"/>
    <w:rsid w:val="00A13224"/>
    <w:rsid w:val="00A13AD6"/>
    <w:rsid w:val="00A14216"/>
    <w:rsid w:val="00A14D7E"/>
    <w:rsid w:val="00A1602B"/>
    <w:rsid w:val="00A1692F"/>
    <w:rsid w:val="00A16CC0"/>
    <w:rsid w:val="00A1731F"/>
    <w:rsid w:val="00A1745B"/>
    <w:rsid w:val="00A17604"/>
    <w:rsid w:val="00A17663"/>
    <w:rsid w:val="00A17A3F"/>
    <w:rsid w:val="00A218B3"/>
    <w:rsid w:val="00A22808"/>
    <w:rsid w:val="00A22C7D"/>
    <w:rsid w:val="00A22EA7"/>
    <w:rsid w:val="00A2377C"/>
    <w:rsid w:val="00A23A6E"/>
    <w:rsid w:val="00A24072"/>
    <w:rsid w:val="00A26351"/>
    <w:rsid w:val="00A27ECF"/>
    <w:rsid w:val="00A30482"/>
    <w:rsid w:val="00A30699"/>
    <w:rsid w:val="00A3069C"/>
    <w:rsid w:val="00A315EA"/>
    <w:rsid w:val="00A32144"/>
    <w:rsid w:val="00A33BE8"/>
    <w:rsid w:val="00A34539"/>
    <w:rsid w:val="00A349DE"/>
    <w:rsid w:val="00A34B66"/>
    <w:rsid w:val="00A35138"/>
    <w:rsid w:val="00A351ED"/>
    <w:rsid w:val="00A352BC"/>
    <w:rsid w:val="00A3600F"/>
    <w:rsid w:val="00A36432"/>
    <w:rsid w:val="00A36C5E"/>
    <w:rsid w:val="00A3716D"/>
    <w:rsid w:val="00A3743B"/>
    <w:rsid w:val="00A37455"/>
    <w:rsid w:val="00A379C2"/>
    <w:rsid w:val="00A40029"/>
    <w:rsid w:val="00A403DB"/>
    <w:rsid w:val="00A40D84"/>
    <w:rsid w:val="00A4109D"/>
    <w:rsid w:val="00A415D4"/>
    <w:rsid w:val="00A43139"/>
    <w:rsid w:val="00A43B6B"/>
    <w:rsid w:val="00A43C68"/>
    <w:rsid w:val="00A43EE4"/>
    <w:rsid w:val="00A44CBA"/>
    <w:rsid w:val="00A467E5"/>
    <w:rsid w:val="00A46D80"/>
    <w:rsid w:val="00A4756E"/>
    <w:rsid w:val="00A47598"/>
    <w:rsid w:val="00A475BA"/>
    <w:rsid w:val="00A47E1D"/>
    <w:rsid w:val="00A47F9C"/>
    <w:rsid w:val="00A501F7"/>
    <w:rsid w:val="00A50B32"/>
    <w:rsid w:val="00A50BA9"/>
    <w:rsid w:val="00A5235C"/>
    <w:rsid w:val="00A527B1"/>
    <w:rsid w:val="00A53712"/>
    <w:rsid w:val="00A537E9"/>
    <w:rsid w:val="00A53BB3"/>
    <w:rsid w:val="00A53E97"/>
    <w:rsid w:val="00A5480F"/>
    <w:rsid w:val="00A550AF"/>
    <w:rsid w:val="00A5640A"/>
    <w:rsid w:val="00A56C4F"/>
    <w:rsid w:val="00A60126"/>
    <w:rsid w:val="00A61148"/>
    <w:rsid w:val="00A6328A"/>
    <w:rsid w:val="00A63ECE"/>
    <w:rsid w:val="00A64323"/>
    <w:rsid w:val="00A66067"/>
    <w:rsid w:val="00A6615E"/>
    <w:rsid w:val="00A662BA"/>
    <w:rsid w:val="00A6633E"/>
    <w:rsid w:val="00A66A2B"/>
    <w:rsid w:val="00A66A75"/>
    <w:rsid w:val="00A66C36"/>
    <w:rsid w:val="00A67872"/>
    <w:rsid w:val="00A67C34"/>
    <w:rsid w:val="00A67D20"/>
    <w:rsid w:val="00A703EC"/>
    <w:rsid w:val="00A71183"/>
    <w:rsid w:val="00A712EC"/>
    <w:rsid w:val="00A713B4"/>
    <w:rsid w:val="00A718B9"/>
    <w:rsid w:val="00A738BF"/>
    <w:rsid w:val="00A73D73"/>
    <w:rsid w:val="00A75474"/>
    <w:rsid w:val="00A75F41"/>
    <w:rsid w:val="00A76261"/>
    <w:rsid w:val="00A76580"/>
    <w:rsid w:val="00A769EF"/>
    <w:rsid w:val="00A771B3"/>
    <w:rsid w:val="00A772F6"/>
    <w:rsid w:val="00A77568"/>
    <w:rsid w:val="00A7772A"/>
    <w:rsid w:val="00A778E8"/>
    <w:rsid w:val="00A77E58"/>
    <w:rsid w:val="00A803C1"/>
    <w:rsid w:val="00A80F9B"/>
    <w:rsid w:val="00A82BDB"/>
    <w:rsid w:val="00A82CE9"/>
    <w:rsid w:val="00A835F4"/>
    <w:rsid w:val="00A83DDE"/>
    <w:rsid w:val="00A84728"/>
    <w:rsid w:val="00A84AB3"/>
    <w:rsid w:val="00A84BC9"/>
    <w:rsid w:val="00A84CBF"/>
    <w:rsid w:val="00A866E5"/>
    <w:rsid w:val="00A8699E"/>
    <w:rsid w:val="00A86D2A"/>
    <w:rsid w:val="00A87212"/>
    <w:rsid w:val="00A8756A"/>
    <w:rsid w:val="00A9009E"/>
    <w:rsid w:val="00A900B6"/>
    <w:rsid w:val="00A91764"/>
    <w:rsid w:val="00A91A17"/>
    <w:rsid w:val="00A91AD3"/>
    <w:rsid w:val="00A91D48"/>
    <w:rsid w:val="00A92593"/>
    <w:rsid w:val="00A93B91"/>
    <w:rsid w:val="00A94371"/>
    <w:rsid w:val="00A9612E"/>
    <w:rsid w:val="00A96C34"/>
    <w:rsid w:val="00A9706E"/>
    <w:rsid w:val="00A97722"/>
    <w:rsid w:val="00A978A0"/>
    <w:rsid w:val="00AA028B"/>
    <w:rsid w:val="00AA08F4"/>
    <w:rsid w:val="00AA1821"/>
    <w:rsid w:val="00AA2E1A"/>
    <w:rsid w:val="00AA33CF"/>
    <w:rsid w:val="00AA356A"/>
    <w:rsid w:val="00AA4C34"/>
    <w:rsid w:val="00AA58A8"/>
    <w:rsid w:val="00AA72E6"/>
    <w:rsid w:val="00AA78EF"/>
    <w:rsid w:val="00AA7FBD"/>
    <w:rsid w:val="00AB0326"/>
    <w:rsid w:val="00AB089B"/>
    <w:rsid w:val="00AB1059"/>
    <w:rsid w:val="00AB1C28"/>
    <w:rsid w:val="00AB214C"/>
    <w:rsid w:val="00AB28AE"/>
    <w:rsid w:val="00AB2D45"/>
    <w:rsid w:val="00AB33E0"/>
    <w:rsid w:val="00AB365B"/>
    <w:rsid w:val="00AB3696"/>
    <w:rsid w:val="00AB4584"/>
    <w:rsid w:val="00AB669B"/>
    <w:rsid w:val="00AB6D2A"/>
    <w:rsid w:val="00AB7A13"/>
    <w:rsid w:val="00AB7C32"/>
    <w:rsid w:val="00AB7C5F"/>
    <w:rsid w:val="00AC0968"/>
    <w:rsid w:val="00AC20E1"/>
    <w:rsid w:val="00AC2B83"/>
    <w:rsid w:val="00AC31D0"/>
    <w:rsid w:val="00AC3C1E"/>
    <w:rsid w:val="00AC3F6A"/>
    <w:rsid w:val="00AC4897"/>
    <w:rsid w:val="00AC4BD5"/>
    <w:rsid w:val="00AC4CF6"/>
    <w:rsid w:val="00AC5120"/>
    <w:rsid w:val="00AC552C"/>
    <w:rsid w:val="00AC564D"/>
    <w:rsid w:val="00AC63EF"/>
    <w:rsid w:val="00AC6D5C"/>
    <w:rsid w:val="00AD091D"/>
    <w:rsid w:val="00AD0B92"/>
    <w:rsid w:val="00AD0EDC"/>
    <w:rsid w:val="00AD1405"/>
    <w:rsid w:val="00AD1C37"/>
    <w:rsid w:val="00AD219E"/>
    <w:rsid w:val="00AD26B6"/>
    <w:rsid w:val="00AD28A1"/>
    <w:rsid w:val="00AD2AE7"/>
    <w:rsid w:val="00AD2CCC"/>
    <w:rsid w:val="00AD3ACA"/>
    <w:rsid w:val="00AD3AFC"/>
    <w:rsid w:val="00AD3CB6"/>
    <w:rsid w:val="00AD410F"/>
    <w:rsid w:val="00AD4EE7"/>
    <w:rsid w:val="00AD59CE"/>
    <w:rsid w:val="00AD61B4"/>
    <w:rsid w:val="00AD6DCB"/>
    <w:rsid w:val="00AD6FED"/>
    <w:rsid w:val="00AD7248"/>
    <w:rsid w:val="00AE14E5"/>
    <w:rsid w:val="00AE2E42"/>
    <w:rsid w:val="00AE3524"/>
    <w:rsid w:val="00AE367D"/>
    <w:rsid w:val="00AE394F"/>
    <w:rsid w:val="00AE3E48"/>
    <w:rsid w:val="00AE425E"/>
    <w:rsid w:val="00AE56EB"/>
    <w:rsid w:val="00AE60AA"/>
    <w:rsid w:val="00AE642A"/>
    <w:rsid w:val="00AE7001"/>
    <w:rsid w:val="00AE7544"/>
    <w:rsid w:val="00AF1089"/>
    <w:rsid w:val="00AF1892"/>
    <w:rsid w:val="00AF1B69"/>
    <w:rsid w:val="00AF28FF"/>
    <w:rsid w:val="00AF2983"/>
    <w:rsid w:val="00AF3083"/>
    <w:rsid w:val="00AF3DB0"/>
    <w:rsid w:val="00AF44DE"/>
    <w:rsid w:val="00AF4B83"/>
    <w:rsid w:val="00AF59E8"/>
    <w:rsid w:val="00AF5DB8"/>
    <w:rsid w:val="00AF618D"/>
    <w:rsid w:val="00AF6716"/>
    <w:rsid w:val="00AF6FB2"/>
    <w:rsid w:val="00AF72BA"/>
    <w:rsid w:val="00AF77CE"/>
    <w:rsid w:val="00B00A98"/>
    <w:rsid w:val="00B00AA2"/>
    <w:rsid w:val="00B00BD0"/>
    <w:rsid w:val="00B01D16"/>
    <w:rsid w:val="00B02226"/>
    <w:rsid w:val="00B02C49"/>
    <w:rsid w:val="00B0423D"/>
    <w:rsid w:val="00B048DB"/>
    <w:rsid w:val="00B04E88"/>
    <w:rsid w:val="00B05031"/>
    <w:rsid w:val="00B0617D"/>
    <w:rsid w:val="00B0651E"/>
    <w:rsid w:val="00B067CD"/>
    <w:rsid w:val="00B068E4"/>
    <w:rsid w:val="00B074E7"/>
    <w:rsid w:val="00B07D14"/>
    <w:rsid w:val="00B103EB"/>
    <w:rsid w:val="00B10692"/>
    <w:rsid w:val="00B118F7"/>
    <w:rsid w:val="00B135F2"/>
    <w:rsid w:val="00B13874"/>
    <w:rsid w:val="00B13C25"/>
    <w:rsid w:val="00B14023"/>
    <w:rsid w:val="00B140E1"/>
    <w:rsid w:val="00B14F62"/>
    <w:rsid w:val="00B15637"/>
    <w:rsid w:val="00B158AB"/>
    <w:rsid w:val="00B1652B"/>
    <w:rsid w:val="00B16A16"/>
    <w:rsid w:val="00B171BA"/>
    <w:rsid w:val="00B20322"/>
    <w:rsid w:val="00B232A5"/>
    <w:rsid w:val="00B2346B"/>
    <w:rsid w:val="00B2439E"/>
    <w:rsid w:val="00B24D00"/>
    <w:rsid w:val="00B25695"/>
    <w:rsid w:val="00B26145"/>
    <w:rsid w:val="00B30880"/>
    <w:rsid w:val="00B308D0"/>
    <w:rsid w:val="00B309F2"/>
    <w:rsid w:val="00B33A1B"/>
    <w:rsid w:val="00B33DB6"/>
    <w:rsid w:val="00B342C0"/>
    <w:rsid w:val="00B34995"/>
    <w:rsid w:val="00B3693D"/>
    <w:rsid w:val="00B36A61"/>
    <w:rsid w:val="00B370C1"/>
    <w:rsid w:val="00B37F57"/>
    <w:rsid w:val="00B37FA1"/>
    <w:rsid w:val="00B4050F"/>
    <w:rsid w:val="00B4058D"/>
    <w:rsid w:val="00B40672"/>
    <w:rsid w:val="00B418F4"/>
    <w:rsid w:val="00B4285D"/>
    <w:rsid w:val="00B42FD3"/>
    <w:rsid w:val="00B43B44"/>
    <w:rsid w:val="00B43C1A"/>
    <w:rsid w:val="00B444F3"/>
    <w:rsid w:val="00B4514A"/>
    <w:rsid w:val="00B46296"/>
    <w:rsid w:val="00B46427"/>
    <w:rsid w:val="00B4651F"/>
    <w:rsid w:val="00B46E3B"/>
    <w:rsid w:val="00B472AC"/>
    <w:rsid w:val="00B47E4B"/>
    <w:rsid w:val="00B47E63"/>
    <w:rsid w:val="00B5068F"/>
    <w:rsid w:val="00B50A06"/>
    <w:rsid w:val="00B50C31"/>
    <w:rsid w:val="00B511EE"/>
    <w:rsid w:val="00B51C53"/>
    <w:rsid w:val="00B5240D"/>
    <w:rsid w:val="00B52618"/>
    <w:rsid w:val="00B5423A"/>
    <w:rsid w:val="00B548AD"/>
    <w:rsid w:val="00B549FB"/>
    <w:rsid w:val="00B54B91"/>
    <w:rsid w:val="00B55141"/>
    <w:rsid w:val="00B55491"/>
    <w:rsid w:val="00B55DD7"/>
    <w:rsid w:val="00B562E6"/>
    <w:rsid w:val="00B56AB7"/>
    <w:rsid w:val="00B56B85"/>
    <w:rsid w:val="00B56D95"/>
    <w:rsid w:val="00B60CBA"/>
    <w:rsid w:val="00B61332"/>
    <w:rsid w:val="00B6210A"/>
    <w:rsid w:val="00B6239A"/>
    <w:rsid w:val="00B63D66"/>
    <w:rsid w:val="00B64744"/>
    <w:rsid w:val="00B64D3D"/>
    <w:rsid w:val="00B64EBB"/>
    <w:rsid w:val="00B65919"/>
    <w:rsid w:val="00B66048"/>
    <w:rsid w:val="00B67064"/>
    <w:rsid w:val="00B670F2"/>
    <w:rsid w:val="00B67EE6"/>
    <w:rsid w:val="00B67F39"/>
    <w:rsid w:val="00B7042C"/>
    <w:rsid w:val="00B70495"/>
    <w:rsid w:val="00B716F0"/>
    <w:rsid w:val="00B71E33"/>
    <w:rsid w:val="00B729B1"/>
    <w:rsid w:val="00B72BCD"/>
    <w:rsid w:val="00B72D84"/>
    <w:rsid w:val="00B73B63"/>
    <w:rsid w:val="00B748DF"/>
    <w:rsid w:val="00B74F0E"/>
    <w:rsid w:val="00B75205"/>
    <w:rsid w:val="00B754B6"/>
    <w:rsid w:val="00B75F12"/>
    <w:rsid w:val="00B762F4"/>
    <w:rsid w:val="00B77077"/>
    <w:rsid w:val="00B77745"/>
    <w:rsid w:val="00B80A03"/>
    <w:rsid w:val="00B81627"/>
    <w:rsid w:val="00B816EA"/>
    <w:rsid w:val="00B819C5"/>
    <w:rsid w:val="00B839E7"/>
    <w:rsid w:val="00B83ADE"/>
    <w:rsid w:val="00B84A66"/>
    <w:rsid w:val="00B851B2"/>
    <w:rsid w:val="00B86533"/>
    <w:rsid w:val="00B86560"/>
    <w:rsid w:val="00B87016"/>
    <w:rsid w:val="00B8769A"/>
    <w:rsid w:val="00B87771"/>
    <w:rsid w:val="00B87AF8"/>
    <w:rsid w:val="00B87F13"/>
    <w:rsid w:val="00B87F74"/>
    <w:rsid w:val="00B90C30"/>
    <w:rsid w:val="00B92F33"/>
    <w:rsid w:val="00B92F8D"/>
    <w:rsid w:val="00B932FE"/>
    <w:rsid w:val="00B934FC"/>
    <w:rsid w:val="00B93650"/>
    <w:rsid w:val="00B9374D"/>
    <w:rsid w:val="00B93C2A"/>
    <w:rsid w:val="00B93E92"/>
    <w:rsid w:val="00B95001"/>
    <w:rsid w:val="00B95B0B"/>
    <w:rsid w:val="00B964C7"/>
    <w:rsid w:val="00B96EEC"/>
    <w:rsid w:val="00B96FE0"/>
    <w:rsid w:val="00B97307"/>
    <w:rsid w:val="00B979C1"/>
    <w:rsid w:val="00BA01BE"/>
    <w:rsid w:val="00BA0838"/>
    <w:rsid w:val="00BA095A"/>
    <w:rsid w:val="00BA2598"/>
    <w:rsid w:val="00BA2A3D"/>
    <w:rsid w:val="00BA3239"/>
    <w:rsid w:val="00BA3665"/>
    <w:rsid w:val="00BA38A7"/>
    <w:rsid w:val="00BA3C73"/>
    <w:rsid w:val="00BA3EE0"/>
    <w:rsid w:val="00BA4309"/>
    <w:rsid w:val="00BA44EE"/>
    <w:rsid w:val="00BA53F1"/>
    <w:rsid w:val="00BA6192"/>
    <w:rsid w:val="00BA7822"/>
    <w:rsid w:val="00BA7C84"/>
    <w:rsid w:val="00BA7F80"/>
    <w:rsid w:val="00BA7FE4"/>
    <w:rsid w:val="00BB0E5D"/>
    <w:rsid w:val="00BB122E"/>
    <w:rsid w:val="00BB15FB"/>
    <w:rsid w:val="00BB1F00"/>
    <w:rsid w:val="00BB2855"/>
    <w:rsid w:val="00BB2C24"/>
    <w:rsid w:val="00BB3581"/>
    <w:rsid w:val="00BB370B"/>
    <w:rsid w:val="00BB3E73"/>
    <w:rsid w:val="00BB3F04"/>
    <w:rsid w:val="00BB4113"/>
    <w:rsid w:val="00BB483B"/>
    <w:rsid w:val="00BB5A8C"/>
    <w:rsid w:val="00BB5BC3"/>
    <w:rsid w:val="00BB6CA1"/>
    <w:rsid w:val="00BC0185"/>
    <w:rsid w:val="00BC052C"/>
    <w:rsid w:val="00BC211D"/>
    <w:rsid w:val="00BC2460"/>
    <w:rsid w:val="00BC38D9"/>
    <w:rsid w:val="00BC53D3"/>
    <w:rsid w:val="00BC5606"/>
    <w:rsid w:val="00BC60AF"/>
    <w:rsid w:val="00BC63FE"/>
    <w:rsid w:val="00BC6502"/>
    <w:rsid w:val="00BC7410"/>
    <w:rsid w:val="00BC74D3"/>
    <w:rsid w:val="00BD072A"/>
    <w:rsid w:val="00BD073A"/>
    <w:rsid w:val="00BD09A2"/>
    <w:rsid w:val="00BD15A5"/>
    <w:rsid w:val="00BD18B9"/>
    <w:rsid w:val="00BD194D"/>
    <w:rsid w:val="00BD3137"/>
    <w:rsid w:val="00BD42D7"/>
    <w:rsid w:val="00BD45DD"/>
    <w:rsid w:val="00BD5D19"/>
    <w:rsid w:val="00BD5D66"/>
    <w:rsid w:val="00BD6111"/>
    <w:rsid w:val="00BD6519"/>
    <w:rsid w:val="00BD72E8"/>
    <w:rsid w:val="00BE0131"/>
    <w:rsid w:val="00BE1160"/>
    <w:rsid w:val="00BE279C"/>
    <w:rsid w:val="00BE3F81"/>
    <w:rsid w:val="00BE426E"/>
    <w:rsid w:val="00BE43B4"/>
    <w:rsid w:val="00BE4DDF"/>
    <w:rsid w:val="00BE528B"/>
    <w:rsid w:val="00BE54DE"/>
    <w:rsid w:val="00BE6B12"/>
    <w:rsid w:val="00BE75AE"/>
    <w:rsid w:val="00BF1745"/>
    <w:rsid w:val="00BF3A4D"/>
    <w:rsid w:val="00BF5194"/>
    <w:rsid w:val="00BF5A7E"/>
    <w:rsid w:val="00BF5C94"/>
    <w:rsid w:val="00BF5E11"/>
    <w:rsid w:val="00BF672C"/>
    <w:rsid w:val="00BF71D2"/>
    <w:rsid w:val="00BF7ECC"/>
    <w:rsid w:val="00C00445"/>
    <w:rsid w:val="00C01716"/>
    <w:rsid w:val="00C0181B"/>
    <w:rsid w:val="00C01DAA"/>
    <w:rsid w:val="00C0225D"/>
    <w:rsid w:val="00C02799"/>
    <w:rsid w:val="00C02A8C"/>
    <w:rsid w:val="00C03468"/>
    <w:rsid w:val="00C03C40"/>
    <w:rsid w:val="00C04DFA"/>
    <w:rsid w:val="00C05699"/>
    <w:rsid w:val="00C05CDB"/>
    <w:rsid w:val="00C06F67"/>
    <w:rsid w:val="00C070B1"/>
    <w:rsid w:val="00C07C44"/>
    <w:rsid w:val="00C07E01"/>
    <w:rsid w:val="00C07FF3"/>
    <w:rsid w:val="00C10065"/>
    <w:rsid w:val="00C10AA4"/>
    <w:rsid w:val="00C11709"/>
    <w:rsid w:val="00C1171F"/>
    <w:rsid w:val="00C12D23"/>
    <w:rsid w:val="00C13368"/>
    <w:rsid w:val="00C138CD"/>
    <w:rsid w:val="00C14A3C"/>
    <w:rsid w:val="00C14F93"/>
    <w:rsid w:val="00C17029"/>
    <w:rsid w:val="00C204CA"/>
    <w:rsid w:val="00C2216C"/>
    <w:rsid w:val="00C22C58"/>
    <w:rsid w:val="00C22E5C"/>
    <w:rsid w:val="00C22EAF"/>
    <w:rsid w:val="00C233BC"/>
    <w:rsid w:val="00C24C04"/>
    <w:rsid w:val="00C25B28"/>
    <w:rsid w:val="00C25C0D"/>
    <w:rsid w:val="00C261D5"/>
    <w:rsid w:val="00C272D3"/>
    <w:rsid w:val="00C27572"/>
    <w:rsid w:val="00C27A8E"/>
    <w:rsid w:val="00C3066E"/>
    <w:rsid w:val="00C322B5"/>
    <w:rsid w:val="00C325F5"/>
    <w:rsid w:val="00C32F08"/>
    <w:rsid w:val="00C33B68"/>
    <w:rsid w:val="00C34CB3"/>
    <w:rsid w:val="00C355F2"/>
    <w:rsid w:val="00C35A42"/>
    <w:rsid w:val="00C3686F"/>
    <w:rsid w:val="00C36F6C"/>
    <w:rsid w:val="00C373AD"/>
    <w:rsid w:val="00C37BCC"/>
    <w:rsid w:val="00C40750"/>
    <w:rsid w:val="00C419CD"/>
    <w:rsid w:val="00C41AA7"/>
    <w:rsid w:val="00C42AC2"/>
    <w:rsid w:val="00C42FF3"/>
    <w:rsid w:val="00C4338D"/>
    <w:rsid w:val="00C43721"/>
    <w:rsid w:val="00C438AF"/>
    <w:rsid w:val="00C43E33"/>
    <w:rsid w:val="00C4408E"/>
    <w:rsid w:val="00C44477"/>
    <w:rsid w:val="00C44B90"/>
    <w:rsid w:val="00C44EF3"/>
    <w:rsid w:val="00C45587"/>
    <w:rsid w:val="00C466DE"/>
    <w:rsid w:val="00C46C87"/>
    <w:rsid w:val="00C50FCC"/>
    <w:rsid w:val="00C516CB"/>
    <w:rsid w:val="00C51BAA"/>
    <w:rsid w:val="00C51DCA"/>
    <w:rsid w:val="00C51EDB"/>
    <w:rsid w:val="00C52147"/>
    <w:rsid w:val="00C526A8"/>
    <w:rsid w:val="00C53FA3"/>
    <w:rsid w:val="00C540C9"/>
    <w:rsid w:val="00C545DC"/>
    <w:rsid w:val="00C556BF"/>
    <w:rsid w:val="00C55AE0"/>
    <w:rsid w:val="00C55B9C"/>
    <w:rsid w:val="00C56741"/>
    <w:rsid w:val="00C57830"/>
    <w:rsid w:val="00C60197"/>
    <w:rsid w:val="00C602DC"/>
    <w:rsid w:val="00C60877"/>
    <w:rsid w:val="00C60D52"/>
    <w:rsid w:val="00C61F85"/>
    <w:rsid w:val="00C6410E"/>
    <w:rsid w:val="00C644FD"/>
    <w:rsid w:val="00C6502B"/>
    <w:rsid w:val="00C65077"/>
    <w:rsid w:val="00C65D68"/>
    <w:rsid w:val="00C665E3"/>
    <w:rsid w:val="00C708DE"/>
    <w:rsid w:val="00C70BBB"/>
    <w:rsid w:val="00C70C74"/>
    <w:rsid w:val="00C72D00"/>
    <w:rsid w:val="00C7377E"/>
    <w:rsid w:val="00C73F0D"/>
    <w:rsid w:val="00C7413C"/>
    <w:rsid w:val="00C741EA"/>
    <w:rsid w:val="00C742B0"/>
    <w:rsid w:val="00C74BB8"/>
    <w:rsid w:val="00C7528C"/>
    <w:rsid w:val="00C77306"/>
    <w:rsid w:val="00C8039E"/>
    <w:rsid w:val="00C81329"/>
    <w:rsid w:val="00C81873"/>
    <w:rsid w:val="00C81D5F"/>
    <w:rsid w:val="00C81FB9"/>
    <w:rsid w:val="00C81FC0"/>
    <w:rsid w:val="00C82A50"/>
    <w:rsid w:val="00C83955"/>
    <w:rsid w:val="00C84563"/>
    <w:rsid w:val="00C84642"/>
    <w:rsid w:val="00C856D9"/>
    <w:rsid w:val="00C87024"/>
    <w:rsid w:val="00C87E52"/>
    <w:rsid w:val="00C87EAD"/>
    <w:rsid w:val="00C90098"/>
    <w:rsid w:val="00C905DD"/>
    <w:rsid w:val="00C910DA"/>
    <w:rsid w:val="00C91417"/>
    <w:rsid w:val="00C9186C"/>
    <w:rsid w:val="00C918FD"/>
    <w:rsid w:val="00C91F9F"/>
    <w:rsid w:val="00C9236D"/>
    <w:rsid w:val="00C9312A"/>
    <w:rsid w:val="00C93883"/>
    <w:rsid w:val="00C938F1"/>
    <w:rsid w:val="00C93E02"/>
    <w:rsid w:val="00C94523"/>
    <w:rsid w:val="00C95354"/>
    <w:rsid w:val="00C956A5"/>
    <w:rsid w:val="00C96673"/>
    <w:rsid w:val="00C972C8"/>
    <w:rsid w:val="00C976E3"/>
    <w:rsid w:val="00C97DA2"/>
    <w:rsid w:val="00CA04C0"/>
    <w:rsid w:val="00CA118B"/>
    <w:rsid w:val="00CA1E4F"/>
    <w:rsid w:val="00CA2425"/>
    <w:rsid w:val="00CA258B"/>
    <w:rsid w:val="00CA2A0C"/>
    <w:rsid w:val="00CA2D6E"/>
    <w:rsid w:val="00CA4C14"/>
    <w:rsid w:val="00CA50E2"/>
    <w:rsid w:val="00CA58E7"/>
    <w:rsid w:val="00CA6900"/>
    <w:rsid w:val="00CA7E6E"/>
    <w:rsid w:val="00CB147B"/>
    <w:rsid w:val="00CB2216"/>
    <w:rsid w:val="00CB2A7A"/>
    <w:rsid w:val="00CB3CD2"/>
    <w:rsid w:val="00CB41A1"/>
    <w:rsid w:val="00CB4A55"/>
    <w:rsid w:val="00CB4C6A"/>
    <w:rsid w:val="00CB537F"/>
    <w:rsid w:val="00CB54EE"/>
    <w:rsid w:val="00CB64A4"/>
    <w:rsid w:val="00CB6DD8"/>
    <w:rsid w:val="00CB7D5E"/>
    <w:rsid w:val="00CC073A"/>
    <w:rsid w:val="00CC1B53"/>
    <w:rsid w:val="00CC2694"/>
    <w:rsid w:val="00CC3C24"/>
    <w:rsid w:val="00CC43D9"/>
    <w:rsid w:val="00CC6614"/>
    <w:rsid w:val="00CC753C"/>
    <w:rsid w:val="00CC7F02"/>
    <w:rsid w:val="00CD0695"/>
    <w:rsid w:val="00CD0AEC"/>
    <w:rsid w:val="00CD0EA3"/>
    <w:rsid w:val="00CD18E8"/>
    <w:rsid w:val="00CD1CB4"/>
    <w:rsid w:val="00CD1CB7"/>
    <w:rsid w:val="00CD1EBD"/>
    <w:rsid w:val="00CD2401"/>
    <w:rsid w:val="00CD26FB"/>
    <w:rsid w:val="00CD27C9"/>
    <w:rsid w:val="00CD2DBD"/>
    <w:rsid w:val="00CD4106"/>
    <w:rsid w:val="00CD4154"/>
    <w:rsid w:val="00CD4636"/>
    <w:rsid w:val="00CD4CA8"/>
    <w:rsid w:val="00CD6C30"/>
    <w:rsid w:val="00CE00B7"/>
    <w:rsid w:val="00CE02EA"/>
    <w:rsid w:val="00CE06E0"/>
    <w:rsid w:val="00CE0A15"/>
    <w:rsid w:val="00CE2359"/>
    <w:rsid w:val="00CE2A25"/>
    <w:rsid w:val="00CE367A"/>
    <w:rsid w:val="00CE4CA6"/>
    <w:rsid w:val="00CE5DCA"/>
    <w:rsid w:val="00CE6936"/>
    <w:rsid w:val="00CE6AB3"/>
    <w:rsid w:val="00CE6FD8"/>
    <w:rsid w:val="00CF0628"/>
    <w:rsid w:val="00CF092B"/>
    <w:rsid w:val="00CF0CED"/>
    <w:rsid w:val="00CF2BA3"/>
    <w:rsid w:val="00CF2C2A"/>
    <w:rsid w:val="00CF31AD"/>
    <w:rsid w:val="00CF3F4B"/>
    <w:rsid w:val="00CF45EF"/>
    <w:rsid w:val="00CF4752"/>
    <w:rsid w:val="00CF56DF"/>
    <w:rsid w:val="00CF5C51"/>
    <w:rsid w:val="00CF6C63"/>
    <w:rsid w:val="00CF6CAB"/>
    <w:rsid w:val="00CF716D"/>
    <w:rsid w:val="00CF7E61"/>
    <w:rsid w:val="00D01769"/>
    <w:rsid w:val="00D0234F"/>
    <w:rsid w:val="00D0268E"/>
    <w:rsid w:val="00D0284A"/>
    <w:rsid w:val="00D02AE9"/>
    <w:rsid w:val="00D033AD"/>
    <w:rsid w:val="00D05926"/>
    <w:rsid w:val="00D062C7"/>
    <w:rsid w:val="00D068B3"/>
    <w:rsid w:val="00D06CF4"/>
    <w:rsid w:val="00D06E4A"/>
    <w:rsid w:val="00D078F5"/>
    <w:rsid w:val="00D10296"/>
    <w:rsid w:val="00D105B0"/>
    <w:rsid w:val="00D107AA"/>
    <w:rsid w:val="00D10BC7"/>
    <w:rsid w:val="00D1160A"/>
    <w:rsid w:val="00D127A9"/>
    <w:rsid w:val="00D12946"/>
    <w:rsid w:val="00D13300"/>
    <w:rsid w:val="00D139E5"/>
    <w:rsid w:val="00D13AFD"/>
    <w:rsid w:val="00D14067"/>
    <w:rsid w:val="00D149CE"/>
    <w:rsid w:val="00D14ACD"/>
    <w:rsid w:val="00D1595E"/>
    <w:rsid w:val="00D15F7D"/>
    <w:rsid w:val="00D209B1"/>
    <w:rsid w:val="00D20D9C"/>
    <w:rsid w:val="00D2281F"/>
    <w:rsid w:val="00D2332D"/>
    <w:rsid w:val="00D24B63"/>
    <w:rsid w:val="00D24BF9"/>
    <w:rsid w:val="00D24FED"/>
    <w:rsid w:val="00D25348"/>
    <w:rsid w:val="00D25FCF"/>
    <w:rsid w:val="00D264AC"/>
    <w:rsid w:val="00D264E7"/>
    <w:rsid w:val="00D26E67"/>
    <w:rsid w:val="00D27747"/>
    <w:rsid w:val="00D27E7D"/>
    <w:rsid w:val="00D3060E"/>
    <w:rsid w:val="00D30907"/>
    <w:rsid w:val="00D30DFF"/>
    <w:rsid w:val="00D31A52"/>
    <w:rsid w:val="00D3294A"/>
    <w:rsid w:val="00D358BA"/>
    <w:rsid w:val="00D36DD2"/>
    <w:rsid w:val="00D36FC5"/>
    <w:rsid w:val="00D3728E"/>
    <w:rsid w:val="00D376C2"/>
    <w:rsid w:val="00D379AA"/>
    <w:rsid w:val="00D379F3"/>
    <w:rsid w:val="00D4036E"/>
    <w:rsid w:val="00D40CC7"/>
    <w:rsid w:val="00D40E61"/>
    <w:rsid w:val="00D41097"/>
    <w:rsid w:val="00D41347"/>
    <w:rsid w:val="00D417C3"/>
    <w:rsid w:val="00D41A4A"/>
    <w:rsid w:val="00D41B1B"/>
    <w:rsid w:val="00D42050"/>
    <w:rsid w:val="00D42CF6"/>
    <w:rsid w:val="00D45092"/>
    <w:rsid w:val="00D4522C"/>
    <w:rsid w:val="00D45F83"/>
    <w:rsid w:val="00D47259"/>
    <w:rsid w:val="00D50257"/>
    <w:rsid w:val="00D5074D"/>
    <w:rsid w:val="00D51046"/>
    <w:rsid w:val="00D510E9"/>
    <w:rsid w:val="00D511EF"/>
    <w:rsid w:val="00D51E0D"/>
    <w:rsid w:val="00D52048"/>
    <w:rsid w:val="00D525BA"/>
    <w:rsid w:val="00D53472"/>
    <w:rsid w:val="00D5350A"/>
    <w:rsid w:val="00D53624"/>
    <w:rsid w:val="00D53786"/>
    <w:rsid w:val="00D541FE"/>
    <w:rsid w:val="00D54416"/>
    <w:rsid w:val="00D548B9"/>
    <w:rsid w:val="00D55631"/>
    <w:rsid w:val="00D55711"/>
    <w:rsid w:val="00D55728"/>
    <w:rsid w:val="00D55955"/>
    <w:rsid w:val="00D5597D"/>
    <w:rsid w:val="00D5692D"/>
    <w:rsid w:val="00D56DA5"/>
    <w:rsid w:val="00D56E8D"/>
    <w:rsid w:val="00D5788B"/>
    <w:rsid w:val="00D57A8C"/>
    <w:rsid w:val="00D604E7"/>
    <w:rsid w:val="00D60A9D"/>
    <w:rsid w:val="00D62246"/>
    <w:rsid w:val="00D62728"/>
    <w:rsid w:val="00D62A01"/>
    <w:rsid w:val="00D637C8"/>
    <w:rsid w:val="00D63DA5"/>
    <w:rsid w:val="00D649A7"/>
    <w:rsid w:val="00D64BF3"/>
    <w:rsid w:val="00D65033"/>
    <w:rsid w:val="00D65B3F"/>
    <w:rsid w:val="00D662EC"/>
    <w:rsid w:val="00D66465"/>
    <w:rsid w:val="00D66E47"/>
    <w:rsid w:val="00D670A8"/>
    <w:rsid w:val="00D67918"/>
    <w:rsid w:val="00D70194"/>
    <w:rsid w:val="00D70403"/>
    <w:rsid w:val="00D70769"/>
    <w:rsid w:val="00D70CA4"/>
    <w:rsid w:val="00D711E8"/>
    <w:rsid w:val="00D71A5F"/>
    <w:rsid w:val="00D7254C"/>
    <w:rsid w:val="00D72855"/>
    <w:rsid w:val="00D74E4A"/>
    <w:rsid w:val="00D75080"/>
    <w:rsid w:val="00D750D0"/>
    <w:rsid w:val="00D752C3"/>
    <w:rsid w:val="00D7618F"/>
    <w:rsid w:val="00D764AE"/>
    <w:rsid w:val="00D767A9"/>
    <w:rsid w:val="00D806B3"/>
    <w:rsid w:val="00D80818"/>
    <w:rsid w:val="00D80B11"/>
    <w:rsid w:val="00D813C9"/>
    <w:rsid w:val="00D815EA"/>
    <w:rsid w:val="00D81B10"/>
    <w:rsid w:val="00D821C1"/>
    <w:rsid w:val="00D83030"/>
    <w:rsid w:val="00D830D3"/>
    <w:rsid w:val="00D8321C"/>
    <w:rsid w:val="00D8343E"/>
    <w:rsid w:val="00D84155"/>
    <w:rsid w:val="00D84DBA"/>
    <w:rsid w:val="00D8505F"/>
    <w:rsid w:val="00D866A4"/>
    <w:rsid w:val="00D86FCA"/>
    <w:rsid w:val="00D87920"/>
    <w:rsid w:val="00D87937"/>
    <w:rsid w:val="00D902B2"/>
    <w:rsid w:val="00D91812"/>
    <w:rsid w:val="00D91DDB"/>
    <w:rsid w:val="00D922FF"/>
    <w:rsid w:val="00D92A58"/>
    <w:rsid w:val="00D92E1D"/>
    <w:rsid w:val="00D932B4"/>
    <w:rsid w:val="00D943B8"/>
    <w:rsid w:val="00D95C4C"/>
    <w:rsid w:val="00D971A3"/>
    <w:rsid w:val="00D97CD6"/>
    <w:rsid w:val="00D97CEE"/>
    <w:rsid w:val="00DA0132"/>
    <w:rsid w:val="00DA06F2"/>
    <w:rsid w:val="00DA1474"/>
    <w:rsid w:val="00DA1588"/>
    <w:rsid w:val="00DA1738"/>
    <w:rsid w:val="00DA1741"/>
    <w:rsid w:val="00DA2077"/>
    <w:rsid w:val="00DA23BB"/>
    <w:rsid w:val="00DA2496"/>
    <w:rsid w:val="00DA3196"/>
    <w:rsid w:val="00DA3E4D"/>
    <w:rsid w:val="00DA4A84"/>
    <w:rsid w:val="00DA5585"/>
    <w:rsid w:val="00DA7306"/>
    <w:rsid w:val="00DA7CC2"/>
    <w:rsid w:val="00DB0604"/>
    <w:rsid w:val="00DB12BC"/>
    <w:rsid w:val="00DB1508"/>
    <w:rsid w:val="00DB2142"/>
    <w:rsid w:val="00DB3D70"/>
    <w:rsid w:val="00DB3F9B"/>
    <w:rsid w:val="00DB4BCD"/>
    <w:rsid w:val="00DB56C5"/>
    <w:rsid w:val="00DB5CCE"/>
    <w:rsid w:val="00DB62F7"/>
    <w:rsid w:val="00DB6382"/>
    <w:rsid w:val="00DB6576"/>
    <w:rsid w:val="00DB6880"/>
    <w:rsid w:val="00DB74C1"/>
    <w:rsid w:val="00DB79A0"/>
    <w:rsid w:val="00DB7C8D"/>
    <w:rsid w:val="00DC004C"/>
    <w:rsid w:val="00DC08BD"/>
    <w:rsid w:val="00DC11E1"/>
    <w:rsid w:val="00DC1AEC"/>
    <w:rsid w:val="00DC1DA4"/>
    <w:rsid w:val="00DC20B2"/>
    <w:rsid w:val="00DC273A"/>
    <w:rsid w:val="00DC2F0B"/>
    <w:rsid w:val="00DC3A72"/>
    <w:rsid w:val="00DC5004"/>
    <w:rsid w:val="00DC5AF5"/>
    <w:rsid w:val="00DC60BB"/>
    <w:rsid w:val="00DC787E"/>
    <w:rsid w:val="00DD1459"/>
    <w:rsid w:val="00DD2858"/>
    <w:rsid w:val="00DD28DD"/>
    <w:rsid w:val="00DD30DD"/>
    <w:rsid w:val="00DD3205"/>
    <w:rsid w:val="00DD476C"/>
    <w:rsid w:val="00DD52A0"/>
    <w:rsid w:val="00DD6079"/>
    <w:rsid w:val="00DD649F"/>
    <w:rsid w:val="00DD6649"/>
    <w:rsid w:val="00DD68F8"/>
    <w:rsid w:val="00DD7549"/>
    <w:rsid w:val="00DE1327"/>
    <w:rsid w:val="00DE13F0"/>
    <w:rsid w:val="00DE20B5"/>
    <w:rsid w:val="00DE20B9"/>
    <w:rsid w:val="00DE2333"/>
    <w:rsid w:val="00DE30C5"/>
    <w:rsid w:val="00DE389B"/>
    <w:rsid w:val="00DE45ED"/>
    <w:rsid w:val="00DE51D6"/>
    <w:rsid w:val="00DE54E6"/>
    <w:rsid w:val="00DE55B8"/>
    <w:rsid w:val="00DE6C69"/>
    <w:rsid w:val="00DF0582"/>
    <w:rsid w:val="00DF0CC7"/>
    <w:rsid w:val="00DF1511"/>
    <w:rsid w:val="00DF1831"/>
    <w:rsid w:val="00DF270C"/>
    <w:rsid w:val="00DF2782"/>
    <w:rsid w:val="00DF38D3"/>
    <w:rsid w:val="00DF4C78"/>
    <w:rsid w:val="00DF51F2"/>
    <w:rsid w:val="00DF583C"/>
    <w:rsid w:val="00DF597E"/>
    <w:rsid w:val="00DF59B3"/>
    <w:rsid w:val="00DF60EF"/>
    <w:rsid w:val="00DF6106"/>
    <w:rsid w:val="00DF6F7D"/>
    <w:rsid w:val="00E003EB"/>
    <w:rsid w:val="00E0094A"/>
    <w:rsid w:val="00E0110C"/>
    <w:rsid w:val="00E01617"/>
    <w:rsid w:val="00E0269E"/>
    <w:rsid w:val="00E02ADA"/>
    <w:rsid w:val="00E02B81"/>
    <w:rsid w:val="00E03287"/>
    <w:rsid w:val="00E033D4"/>
    <w:rsid w:val="00E039D4"/>
    <w:rsid w:val="00E03A91"/>
    <w:rsid w:val="00E041BA"/>
    <w:rsid w:val="00E047FB"/>
    <w:rsid w:val="00E04D13"/>
    <w:rsid w:val="00E06016"/>
    <w:rsid w:val="00E073E6"/>
    <w:rsid w:val="00E11640"/>
    <w:rsid w:val="00E119D6"/>
    <w:rsid w:val="00E12362"/>
    <w:rsid w:val="00E12E97"/>
    <w:rsid w:val="00E13085"/>
    <w:rsid w:val="00E131C7"/>
    <w:rsid w:val="00E1372D"/>
    <w:rsid w:val="00E13A09"/>
    <w:rsid w:val="00E15013"/>
    <w:rsid w:val="00E154CE"/>
    <w:rsid w:val="00E1598B"/>
    <w:rsid w:val="00E16371"/>
    <w:rsid w:val="00E16460"/>
    <w:rsid w:val="00E168FB"/>
    <w:rsid w:val="00E17283"/>
    <w:rsid w:val="00E218C8"/>
    <w:rsid w:val="00E21F9C"/>
    <w:rsid w:val="00E228FC"/>
    <w:rsid w:val="00E236EA"/>
    <w:rsid w:val="00E23C70"/>
    <w:rsid w:val="00E243B6"/>
    <w:rsid w:val="00E24650"/>
    <w:rsid w:val="00E2517F"/>
    <w:rsid w:val="00E2538C"/>
    <w:rsid w:val="00E2644F"/>
    <w:rsid w:val="00E26D58"/>
    <w:rsid w:val="00E26DF4"/>
    <w:rsid w:val="00E27E3F"/>
    <w:rsid w:val="00E27F97"/>
    <w:rsid w:val="00E304CA"/>
    <w:rsid w:val="00E316B8"/>
    <w:rsid w:val="00E31F6A"/>
    <w:rsid w:val="00E3308A"/>
    <w:rsid w:val="00E346FA"/>
    <w:rsid w:val="00E34779"/>
    <w:rsid w:val="00E350F7"/>
    <w:rsid w:val="00E353BE"/>
    <w:rsid w:val="00E35756"/>
    <w:rsid w:val="00E35B45"/>
    <w:rsid w:val="00E36FEA"/>
    <w:rsid w:val="00E3783C"/>
    <w:rsid w:val="00E40118"/>
    <w:rsid w:val="00E4012D"/>
    <w:rsid w:val="00E40530"/>
    <w:rsid w:val="00E407C4"/>
    <w:rsid w:val="00E416E3"/>
    <w:rsid w:val="00E41DF9"/>
    <w:rsid w:val="00E41FDE"/>
    <w:rsid w:val="00E4233D"/>
    <w:rsid w:val="00E4278C"/>
    <w:rsid w:val="00E428B1"/>
    <w:rsid w:val="00E42DF8"/>
    <w:rsid w:val="00E4327D"/>
    <w:rsid w:val="00E434F5"/>
    <w:rsid w:val="00E43626"/>
    <w:rsid w:val="00E43BE4"/>
    <w:rsid w:val="00E452AA"/>
    <w:rsid w:val="00E4633A"/>
    <w:rsid w:val="00E46870"/>
    <w:rsid w:val="00E46AE4"/>
    <w:rsid w:val="00E4788E"/>
    <w:rsid w:val="00E503BD"/>
    <w:rsid w:val="00E50472"/>
    <w:rsid w:val="00E5162B"/>
    <w:rsid w:val="00E523B6"/>
    <w:rsid w:val="00E53EBB"/>
    <w:rsid w:val="00E5525B"/>
    <w:rsid w:val="00E56073"/>
    <w:rsid w:val="00E569DB"/>
    <w:rsid w:val="00E57934"/>
    <w:rsid w:val="00E57A4B"/>
    <w:rsid w:val="00E57EFB"/>
    <w:rsid w:val="00E613C0"/>
    <w:rsid w:val="00E61E5E"/>
    <w:rsid w:val="00E62B07"/>
    <w:rsid w:val="00E637B6"/>
    <w:rsid w:val="00E639EF"/>
    <w:rsid w:val="00E65125"/>
    <w:rsid w:val="00E651C9"/>
    <w:rsid w:val="00E6550D"/>
    <w:rsid w:val="00E65D17"/>
    <w:rsid w:val="00E65FFB"/>
    <w:rsid w:val="00E66531"/>
    <w:rsid w:val="00E66C96"/>
    <w:rsid w:val="00E70B49"/>
    <w:rsid w:val="00E713C8"/>
    <w:rsid w:val="00E729DA"/>
    <w:rsid w:val="00E72B63"/>
    <w:rsid w:val="00E73125"/>
    <w:rsid w:val="00E73FE4"/>
    <w:rsid w:val="00E74197"/>
    <w:rsid w:val="00E7451F"/>
    <w:rsid w:val="00E75024"/>
    <w:rsid w:val="00E76B5C"/>
    <w:rsid w:val="00E76C63"/>
    <w:rsid w:val="00E76E8B"/>
    <w:rsid w:val="00E77DD0"/>
    <w:rsid w:val="00E81083"/>
    <w:rsid w:val="00E8157F"/>
    <w:rsid w:val="00E8174F"/>
    <w:rsid w:val="00E828B7"/>
    <w:rsid w:val="00E82BEE"/>
    <w:rsid w:val="00E83510"/>
    <w:rsid w:val="00E83E11"/>
    <w:rsid w:val="00E84D89"/>
    <w:rsid w:val="00E85DBA"/>
    <w:rsid w:val="00E865A9"/>
    <w:rsid w:val="00E86B32"/>
    <w:rsid w:val="00E86FDF"/>
    <w:rsid w:val="00E90B74"/>
    <w:rsid w:val="00E91921"/>
    <w:rsid w:val="00E91B8B"/>
    <w:rsid w:val="00E92359"/>
    <w:rsid w:val="00E9249B"/>
    <w:rsid w:val="00E93705"/>
    <w:rsid w:val="00E94ECE"/>
    <w:rsid w:val="00E94F24"/>
    <w:rsid w:val="00E95905"/>
    <w:rsid w:val="00E95F98"/>
    <w:rsid w:val="00E9663A"/>
    <w:rsid w:val="00E96E38"/>
    <w:rsid w:val="00E97436"/>
    <w:rsid w:val="00E97451"/>
    <w:rsid w:val="00E977DD"/>
    <w:rsid w:val="00E97AEF"/>
    <w:rsid w:val="00E97FDC"/>
    <w:rsid w:val="00EA0C39"/>
    <w:rsid w:val="00EA2734"/>
    <w:rsid w:val="00EA2B49"/>
    <w:rsid w:val="00EA32E2"/>
    <w:rsid w:val="00EA3D6A"/>
    <w:rsid w:val="00EA4237"/>
    <w:rsid w:val="00EA55E8"/>
    <w:rsid w:val="00EA563D"/>
    <w:rsid w:val="00EA58CF"/>
    <w:rsid w:val="00EA61CA"/>
    <w:rsid w:val="00EA620F"/>
    <w:rsid w:val="00EA6896"/>
    <w:rsid w:val="00EA6B25"/>
    <w:rsid w:val="00EA6E4B"/>
    <w:rsid w:val="00EB018F"/>
    <w:rsid w:val="00EB159C"/>
    <w:rsid w:val="00EB19D0"/>
    <w:rsid w:val="00EB2FC3"/>
    <w:rsid w:val="00EB305D"/>
    <w:rsid w:val="00EB3081"/>
    <w:rsid w:val="00EB3154"/>
    <w:rsid w:val="00EB31B0"/>
    <w:rsid w:val="00EB39D1"/>
    <w:rsid w:val="00EB39FD"/>
    <w:rsid w:val="00EB3F1B"/>
    <w:rsid w:val="00EB5144"/>
    <w:rsid w:val="00EB65D9"/>
    <w:rsid w:val="00EB6855"/>
    <w:rsid w:val="00EB6E92"/>
    <w:rsid w:val="00EB74E1"/>
    <w:rsid w:val="00EB7F71"/>
    <w:rsid w:val="00EC1AA2"/>
    <w:rsid w:val="00EC2743"/>
    <w:rsid w:val="00EC2E19"/>
    <w:rsid w:val="00EC3C57"/>
    <w:rsid w:val="00EC4051"/>
    <w:rsid w:val="00EC408C"/>
    <w:rsid w:val="00EC5A9B"/>
    <w:rsid w:val="00EC5ABA"/>
    <w:rsid w:val="00EC5F5F"/>
    <w:rsid w:val="00EC6683"/>
    <w:rsid w:val="00EC6AFA"/>
    <w:rsid w:val="00EC70E3"/>
    <w:rsid w:val="00EC76EF"/>
    <w:rsid w:val="00EC7C1A"/>
    <w:rsid w:val="00ED0379"/>
    <w:rsid w:val="00ED13E3"/>
    <w:rsid w:val="00ED24D0"/>
    <w:rsid w:val="00ED2504"/>
    <w:rsid w:val="00ED2643"/>
    <w:rsid w:val="00ED2DFC"/>
    <w:rsid w:val="00ED334D"/>
    <w:rsid w:val="00ED63EA"/>
    <w:rsid w:val="00ED65AB"/>
    <w:rsid w:val="00ED6763"/>
    <w:rsid w:val="00ED680C"/>
    <w:rsid w:val="00ED6C68"/>
    <w:rsid w:val="00ED7566"/>
    <w:rsid w:val="00EE0118"/>
    <w:rsid w:val="00EE052F"/>
    <w:rsid w:val="00EE0730"/>
    <w:rsid w:val="00EE0CCB"/>
    <w:rsid w:val="00EE2AEF"/>
    <w:rsid w:val="00EE2CBA"/>
    <w:rsid w:val="00EE2D81"/>
    <w:rsid w:val="00EE3FD9"/>
    <w:rsid w:val="00EE4DCE"/>
    <w:rsid w:val="00EE573E"/>
    <w:rsid w:val="00EE656D"/>
    <w:rsid w:val="00EF072F"/>
    <w:rsid w:val="00EF09CC"/>
    <w:rsid w:val="00EF0A02"/>
    <w:rsid w:val="00EF134B"/>
    <w:rsid w:val="00EF148C"/>
    <w:rsid w:val="00EF1887"/>
    <w:rsid w:val="00EF2944"/>
    <w:rsid w:val="00EF36ED"/>
    <w:rsid w:val="00EF4370"/>
    <w:rsid w:val="00EF443A"/>
    <w:rsid w:val="00EF4938"/>
    <w:rsid w:val="00EF4F27"/>
    <w:rsid w:val="00EF5578"/>
    <w:rsid w:val="00EF5D88"/>
    <w:rsid w:val="00EF6346"/>
    <w:rsid w:val="00EF6360"/>
    <w:rsid w:val="00EF65FF"/>
    <w:rsid w:val="00EF78A4"/>
    <w:rsid w:val="00EF7B80"/>
    <w:rsid w:val="00F009C8"/>
    <w:rsid w:val="00F00DE6"/>
    <w:rsid w:val="00F021DA"/>
    <w:rsid w:val="00F025DA"/>
    <w:rsid w:val="00F03548"/>
    <w:rsid w:val="00F03FFA"/>
    <w:rsid w:val="00F04965"/>
    <w:rsid w:val="00F04A8A"/>
    <w:rsid w:val="00F06D7A"/>
    <w:rsid w:val="00F06DBF"/>
    <w:rsid w:val="00F1067C"/>
    <w:rsid w:val="00F112E5"/>
    <w:rsid w:val="00F11E45"/>
    <w:rsid w:val="00F128D6"/>
    <w:rsid w:val="00F12D6E"/>
    <w:rsid w:val="00F130CA"/>
    <w:rsid w:val="00F14372"/>
    <w:rsid w:val="00F1451B"/>
    <w:rsid w:val="00F14555"/>
    <w:rsid w:val="00F15C79"/>
    <w:rsid w:val="00F16599"/>
    <w:rsid w:val="00F16C62"/>
    <w:rsid w:val="00F17FEF"/>
    <w:rsid w:val="00F2040F"/>
    <w:rsid w:val="00F2084B"/>
    <w:rsid w:val="00F20970"/>
    <w:rsid w:val="00F214C5"/>
    <w:rsid w:val="00F214F7"/>
    <w:rsid w:val="00F21FBC"/>
    <w:rsid w:val="00F22505"/>
    <w:rsid w:val="00F2287A"/>
    <w:rsid w:val="00F2310B"/>
    <w:rsid w:val="00F23161"/>
    <w:rsid w:val="00F24AA2"/>
    <w:rsid w:val="00F260DE"/>
    <w:rsid w:val="00F26703"/>
    <w:rsid w:val="00F26E1F"/>
    <w:rsid w:val="00F2730B"/>
    <w:rsid w:val="00F31835"/>
    <w:rsid w:val="00F31C06"/>
    <w:rsid w:val="00F31F67"/>
    <w:rsid w:val="00F320FE"/>
    <w:rsid w:val="00F32110"/>
    <w:rsid w:val="00F33603"/>
    <w:rsid w:val="00F34083"/>
    <w:rsid w:val="00F3439F"/>
    <w:rsid w:val="00F3464C"/>
    <w:rsid w:val="00F34EF8"/>
    <w:rsid w:val="00F35503"/>
    <w:rsid w:val="00F35D50"/>
    <w:rsid w:val="00F3678C"/>
    <w:rsid w:val="00F367CB"/>
    <w:rsid w:val="00F3708E"/>
    <w:rsid w:val="00F42B20"/>
    <w:rsid w:val="00F4375C"/>
    <w:rsid w:val="00F43AB4"/>
    <w:rsid w:val="00F44A1C"/>
    <w:rsid w:val="00F44E08"/>
    <w:rsid w:val="00F45271"/>
    <w:rsid w:val="00F45780"/>
    <w:rsid w:val="00F45ADD"/>
    <w:rsid w:val="00F460B2"/>
    <w:rsid w:val="00F47F05"/>
    <w:rsid w:val="00F50A50"/>
    <w:rsid w:val="00F51D6A"/>
    <w:rsid w:val="00F51E50"/>
    <w:rsid w:val="00F51FBB"/>
    <w:rsid w:val="00F523A3"/>
    <w:rsid w:val="00F523A6"/>
    <w:rsid w:val="00F528CD"/>
    <w:rsid w:val="00F52E4C"/>
    <w:rsid w:val="00F53D23"/>
    <w:rsid w:val="00F542C2"/>
    <w:rsid w:val="00F54C3F"/>
    <w:rsid w:val="00F54DB4"/>
    <w:rsid w:val="00F55E02"/>
    <w:rsid w:val="00F56677"/>
    <w:rsid w:val="00F56CCD"/>
    <w:rsid w:val="00F56EC7"/>
    <w:rsid w:val="00F5767A"/>
    <w:rsid w:val="00F577E8"/>
    <w:rsid w:val="00F60099"/>
    <w:rsid w:val="00F606D0"/>
    <w:rsid w:val="00F60AA1"/>
    <w:rsid w:val="00F617A1"/>
    <w:rsid w:val="00F61D79"/>
    <w:rsid w:val="00F61E52"/>
    <w:rsid w:val="00F62E02"/>
    <w:rsid w:val="00F63326"/>
    <w:rsid w:val="00F63406"/>
    <w:rsid w:val="00F63CE3"/>
    <w:rsid w:val="00F64178"/>
    <w:rsid w:val="00F64B9D"/>
    <w:rsid w:val="00F66CFF"/>
    <w:rsid w:val="00F66D23"/>
    <w:rsid w:val="00F66E87"/>
    <w:rsid w:val="00F70749"/>
    <w:rsid w:val="00F71147"/>
    <w:rsid w:val="00F71FFB"/>
    <w:rsid w:val="00F721DA"/>
    <w:rsid w:val="00F723D3"/>
    <w:rsid w:val="00F74388"/>
    <w:rsid w:val="00F746A1"/>
    <w:rsid w:val="00F7555B"/>
    <w:rsid w:val="00F762BD"/>
    <w:rsid w:val="00F7641B"/>
    <w:rsid w:val="00F764E6"/>
    <w:rsid w:val="00F80AFB"/>
    <w:rsid w:val="00F82698"/>
    <w:rsid w:val="00F82EC2"/>
    <w:rsid w:val="00F835F4"/>
    <w:rsid w:val="00F83894"/>
    <w:rsid w:val="00F8577D"/>
    <w:rsid w:val="00F85781"/>
    <w:rsid w:val="00F860B5"/>
    <w:rsid w:val="00F86E83"/>
    <w:rsid w:val="00F86EF8"/>
    <w:rsid w:val="00F87623"/>
    <w:rsid w:val="00F87C40"/>
    <w:rsid w:val="00F87F14"/>
    <w:rsid w:val="00F90841"/>
    <w:rsid w:val="00F908FE"/>
    <w:rsid w:val="00F909DC"/>
    <w:rsid w:val="00F91F3B"/>
    <w:rsid w:val="00F93EB7"/>
    <w:rsid w:val="00F95D6C"/>
    <w:rsid w:val="00F967C7"/>
    <w:rsid w:val="00F9762D"/>
    <w:rsid w:val="00F97778"/>
    <w:rsid w:val="00FA0B87"/>
    <w:rsid w:val="00FA126C"/>
    <w:rsid w:val="00FA15E9"/>
    <w:rsid w:val="00FA1686"/>
    <w:rsid w:val="00FA2792"/>
    <w:rsid w:val="00FA291A"/>
    <w:rsid w:val="00FA29CE"/>
    <w:rsid w:val="00FA3027"/>
    <w:rsid w:val="00FA3229"/>
    <w:rsid w:val="00FA3DB0"/>
    <w:rsid w:val="00FA3F4C"/>
    <w:rsid w:val="00FA4F77"/>
    <w:rsid w:val="00FA512D"/>
    <w:rsid w:val="00FA57AB"/>
    <w:rsid w:val="00FA64B0"/>
    <w:rsid w:val="00FA7691"/>
    <w:rsid w:val="00FA7C27"/>
    <w:rsid w:val="00FA7CD5"/>
    <w:rsid w:val="00FB011D"/>
    <w:rsid w:val="00FB018E"/>
    <w:rsid w:val="00FB03B3"/>
    <w:rsid w:val="00FB066A"/>
    <w:rsid w:val="00FB0AAA"/>
    <w:rsid w:val="00FB0F17"/>
    <w:rsid w:val="00FB0F4A"/>
    <w:rsid w:val="00FB10A7"/>
    <w:rsid w:val="00FB119F"/>
    <w:rsid w:val="00FB1756"/>
    <w:rsid w:val="00FB285D"/>
    <w:rsid w:val="00FB2B9C"/>
    <w:rsid w:val="00FB46B0"/>
    <w:rsid w:val="00FB49F8"/>
    <w:rsid w:val="00FB53D5"/>
    <w:rsid w:val="00FB5E03"/>
    <w:rsid w:val="00FB6A3A"/>
    <w:rsid w:val="00FB7311"/>
    <w:rsid w:val="00FB7398"/>
    <w:rsid w:val="00FB7599"/>
    <w:rsid w:val="00FB79DE"/>
    <w:rsid w:val="00FB7FF5"/>
    <w:rsid w:val="00FC0AA5"/>
    <w:rsid w:val="00FC0BD4"/>
    <w:rsid w:val="00FC11FF"/>
    <w:rsid w:val="00FC1C0C"/>
    <w:rsid w:val="00FC282F"/>
    <w:rsid w:val="00FC496E"/>
    <w:rsid w:val="00FC4D73"/>
    <w:rsid w:val="00FC51CA"/>
    <w:rsid w:val="00FC5999"/>
    <w:rsid w:val="00FC5D2A"/>
    <w:rsid w:val="00FC5E07"/>
    <w:rsid w:val="00FC6922"/>
    <w:rsid w:val="00FC6966"/>
    <w:rsid w:val="00FD0077"/>
    <w:rsid w:val="00FD013A"/>
    <w:rsid w:val="00FD0217"/>
    <w:rsid w:val="00FD08C2"/>
    <w:rsid w:val="00FD0F1A"/>
    <w:rsid w:val="00FD27DB"/>
    <w:rsid w:val="00FD2AB4"/>
    <w:rsid w:val="00FD3099"/>
    <w:rsid w:val="00FD34ED"/>
    <w:rsid w:val="00FD49DF"/>
    <w:rsid w:val="00FD4D9F"/>
    <w:rsid w:val="00FD6BDE"/>
    <w:rsid w:val="00FD6F5C"/>
    <w:rsid w:val="00FD7604"/>
    <w:rsid w:val="00FE1825"/>
    <w:rsid w:val="00FE193F"/>
    <w:rsid w:val="00FE25F1"/>
    <w:rsid w:val="00FE2C08"/>
    <w:rsid w:val="00FE2EEB"/>
    <w:rsid w:val="00FE49FD"/>
    <w:rsid w:val="00FE67B6"/>
    <w:rsid w:val="00FE6D09"/>
    <w:rsid w:val="00FE6E05"/>
    <w:rsid w:val="00FE7A17"/>
    <w:rsid w:val="00FE7FFB"/>
    <w:rsid w:val="00FF0B1D"/>
    <w:rsid w:val="00FF1EF4"/>
    <w:rsid w:val="00FF267E"/>
    <w:rsid w:val="00FF30B1"/>
    <w:rsid w:val="00FF37E1"/>
    <w:rsid w:val="00FF442D"/>
    <w:rsid w:val="00FF5480"/>
    <w:rsid w:val="00FF58F4"/>
    <w:rsid w:val="00FF5D80"/>
    <w:rsid w:val="00FF5D91"/>
    <w:rsid w:val="00FF5EEF"/>
    <w:rsid w:val="2CFB620B"/>
    <w:rsid w:val="6C6F181B"/>
    <w:rsid w:val="76E107DE"/>
    <w:rsid w:val="F5DDADB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qFormat="1" w:uiPriority="99" w:semiHidden="0" w:name="Signature"/>
    <w:lsdException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qFormat="1" w:uiPriority="99" w:semiHidden="0" w:name="Salutation"/>
    <w:lsdException w:qFormat="1" w:uiPriority="99"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eastAsia="en-US" w:bidi="ar-SA"/>
    </w:rPr>
  </w:style>
  <w:style w:type="paragraph" w:styleId="2">
    <w:name w:val="heading 1"/>
    <w:basedOn w:val="1"/>
    <w:next w:val="1"/>
    <w:link w:val="55"/>
    <w:qFormat/>
    <w:uiPriority w:val="9"/>
    <w:pPr>
      <w:keepNext/>
      <w:keepLines/>
      <w:spacing w:before="480"/>
      <w:outlineLvl w:val="0"/>
    </w:pPr>
    <w:rPr>
      <w:rFonts w:asciiTheme="majorHAnsi" w:hAnsiTheme="majorHAnsi" w:eastAsiaTheme="majorEastAsia" w:cstheme="majorBidi"/>
      <w:b/>
      <w:bCs/>
      <w:color w:val="2E75B6" w:themeColor="accent1" w:themeShade="BF"/>
      <w:sz w:val="28"/>
      <w:szCs w:val="28"/>
    </w:rPr>
  </w:style>
  <w:style w:type="paragraph" w:styleId="3">
    <w:name w:val="heading 2"/>
    <w:basedOn w:val="1"/>
    <w:next w:val="1"/>
    <w:link w:val="56"/>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14:textFill>
        <w14:solidFill>
          <w14:schemeClr w14:val="accent1"/>
        </w14:solidFill>
      </w14:textFill>
    </w:rPr>
  </w:style>
  <w:style w:type="paragraph" w:styleId="4">
    <w:name w:val="heading 3"/>
    <w:basedOn w:val="1"/>
    <w:next w:val="1"/>
    <w:link w:val="28"/>
    <w:qFormat/>
    <w:uiPriority w:val="9"/>
    <w:pPr>
      <w:spacing w:before="100" w:beforeAutospacing="1" w:after="100" w:afterAutospacing="1"/>
      <w:outlineLvl w:val="2"/>
    </w:pPr>
    <w:rPr>
      <w:rFonts w:ascii="Times New Roman" w:hAnsi="Times New Roman" w:eastAsia="Times New Roman" w:cs="Times New Roman"/>
      <w:b/>
      <w:bCs/>
      <w:sz w:val="27"/>
      <w:szCs w:val="27"/>
      <w:lang w:val="es-EC" w:eastAsia="es-EC"/>
    </w:rPr>
  </w:style>
  <w:style w:type="paragraph" w:styleId="5">
    <w:name w:val="heading 4"/>
    <w:basedOn w:val="1"/>
    <w:next w:val="1"/>
    <w:link w:val="68"/>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6">
    <w:name w:val="Default Paragraph Font"/>
    <w:semiHidden/>
    <w:unhideWhenUsed/>
    <w:uiPriority w:val="1"/>
  </w:style>
  <w:style w:type="table" w:default="1" w:styleId="7">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32"/>
    <w:semiHidden/>
    <w:unhideWhenUsed/>
    <w:uiPriority w:val="99"/>
    <w:rPr>
      <w:rFonts w:ascii="Tahoma" w:hAnsi="Tahoma" w:cs="Tahoma"/>
      <w:sz w:val="16"/>
      <w:szCs w:val="16"/>
    </w:rPr>
  </w:style>
  <w:style w:type="paragraph" w:styleId="9">
    <w:name w:val="Body Text"/>
    <w:basedOn w:val="1"/>
    <w:link w:val="52"/>
    <w:qFormat/>
    <w:uiPriority w:val="0"/>
    <w:pPr>
      <w:widowControl w:val="0"/>
      <w:suppressAutoHyphens/>
      <w:spacing w:after="120"/>
    </w:pPr>
    <w:rPr>
      <w:rFonts w:ascii="Times New Roman" w:hAnsi="Times New Roman" w:eastAsia="Arial Unicode MS" w:cs="Times New Roman"/>
      <w:kern w:val="1"/>
      <w:lang w:eastAsia="ar-SA"/>
    </w:rPr>
  </w:style>
  <w:style w:type="paragraph" w:styleId="10">
    <w:name w:val="Body Text First Indent"/>
    <w:basedOn w:val="9"/>
    <w:link w:val="70"/>
    <w:unhideWhenUsed/>
    <w:qFormat/>
    <w:uiPriority w:val="99"/>
    <w:pPr>
      <w:widowControl/>
      <w:suppressAutoHyphens w:val="0"/>
      <w:spacing w:after="0"/>
      <w:ind w:firstLine="360"/>
    </w:pPr>
    <w:rPr>
      <w:rFonts w:asciiTheme="minorHAnsi" w:hAnsiTheme="minorHAnsi" w:eastAsiaTheme="minorHAnsi" w:cstheme="minorBidi"/>
      <w:kern w:val="0"/>
      <w:lang w:eastAsia="en-US"/>
    </w:rPr>
  </w:style>
  <w:style w:type="paragraph" w:styleId="11">
    <w:name w:val="Body Text Indent"/>
    <w:basedOn w:val="1"/>
    <w:link w:val="65"/>
    <w:semiHidden/>
    <w:unhideWhenUsed/>
    <w:qFormat/>
    <w:uiPriority w:val="99"/>
    <w:pPr>
      <w:spacing w:after="120"/>
      <w:ind w:left="283"/>
    </w:pPr>
  </w:style>
  <w:style w:type="paragraph" w:styleId="12">
    <w:name w:val="Body Text First Indent 2"/>
    <w:basedOn w:val="11"/>
    <w:link w:val="66"/>
    <w:unhideWhenUsed/>
    <w:qFormat/>
    <w:uiPriority w:val="99"/>
    <w:pPr>
      <w:spacing w:after="0"/>
      <w:ind w:left="360" w:firstLine="360"/>
    </w:pPr>
  </w:style>
  <w:style w:type="paragraph" w:styleId="13">
    <w:name w:val="caption"/>
    <w:basedOn w:val="1"/>
    <w:next w:val="1"/>
    <w:unhideWhenUsed/>
    <w:qFormat/>
    <w:uiPriority w:val="35"/>
    <w:pPr>
      <w:spacing w:after="200"/>
    </w:pPr>
    <w:rPr>
      <w:b/>
      <w:bCs/>
      <w:color w:val="5B9BD5" w:themeColor="accent1"/>
      <w:sz w:val="18"/>
      <w:szCs w:val="18"/>
      <w14:textFill>
        <w14:solidFill>
          <w14:schemeClr w14:val="accent1"/>
        </w14:solidFill>
      </w14:textFill>
    </w:rPr>
  </w:style>
  <w:style w:type="paragraph" w:styleId="14">
    <w:name w:val="Closing"/>
    <w:basedOn w:val="1"/>
    <w:link w:val="58"/>
    <w:unhideWhenUsed/>
    <w:qFormat/>
    <w:uiPriority w:val="99"/>
    <w:pPr>
      <w:ind w:left="4252"/>
    </w:pPr>
  </w:style>
  <w:style w:type="paragraph" w:styleId="15">
    <w:name w:val="Date"/>
    <w:basedOn w:val="1"/>
    <w:next w:val="1"/>
    <w:link w:val="59"/>
    <w:unhideWhenUsed/>
    <w:qFormat/>
    <w:uiPriority w:val="99"/>
  </w:style>
  <w:style w:type="character" w:styleId="16">
    <w:name w:val="FollowedHyperlink"/>
    <w:basedOn w:val="6"/>
    <w:semiHidden/>
    <w:unhideWhenUsed/>
    <w:qFormat/>
    <w:uiPriority w:val="99"/>
    <w:rPr>
      <w:color w:val="954F72" w:themeColor="followedHyperlink"/>
      <w:u w:val="single"/>
      <w14:textFill>
        <w14:solidFill>
          <w14:schemeClr w14:val="folHlink"/>
        </w14:solidFill>
      </w14:textFill>
    </w:rPr>
  </w:style>
  <w:style w:type="paragraph" w:styleId="17">
    <w:name w:val="footer"/>
    <w:basedOn w:val="1"/>
    <w:link w:val="30"/>
    <w:unhideWhenUsed/>
    <w:uiPriority w:val="99"/>
    <w:pPr>
      <w:tabs>
        <w:tab w:val="center" w:pos="4252"/>
        <w:tab w:val="right" w:pos="8504"/>
      </w:tabs>
    </w:pPr>
  </w:style>
  <w:style w:type="paragraph" w:styleId="18">
    <w:name w:val="header"/>
    <w:basedOn w:val="1"/>
    <w:link w:val="29"/>
    <w:unhideWhenUsed/>
    <w:uiPriority w:val="0"/>
    <w:pPr>
      <w:tabs>
        <w:tab w:val="center" w:pos="4252"/>
        <w:tab w:val="right" w:pos="8504"/>
      </w:tabs>
    </w:pPr>
  </w:style>
  <w:style w:type="character" w:styleId="19">
    <w:name w:val="Hyperlink"/>
    <w:basedOn w:val="6"/>
    <w:unhideWhenUsed/>
    <w:uiPriority w:val="99"/>
    <w:rPr>
      <w:color w:val="0563C1" w:themeColor="hyperlink"/>
      <w:u w:val="single"/>
      <w14:textFill>
        <w14:solidFill>
          <w14:schemeClr w14:val="hlink"/>
        </w14:solidFill>
      </w14:textFill>
    </w:rPr>
  </w:style>
  <w:style w:type="paragraph" w:styleId="20">
    <w:name w:val="List"/>
    <w:basedOn w:val="1"/>
    <w:unhideWhenUsed/>
    <w:qFormat/>
    <w:uiPriority w:val="99"/>
    <w:pPr>
      <w:ind w:left="283" w:hanging="283"/>
      <w:contextualSpacing/>
    </w:pPr>
  </w:style>
  <w:style w:type="paragraph" w:styleId="21">
    <w:name w:val="List Bullet"/>
    <w:basedOn w:val="1"/>
    <w:unhideWhenUsed/>
    <w:qFormat/>
    <w:uiPriority w:val="99"/>
    <w:pPr>
      <w:numPr>
        <w:ilvl w:val="0"/>
        <w:numId w:val="1"/>
      </w:numPr>
      <w:contextualSpacing/>
    </w:pPr>
  </w:style>
  <w:style w:type="paragraph" w:styleId="22">
    <w:name w:val="Message Header"/>
    <w:basedOn w:val="1"/>
    <w:link w:val="69"/>
    <w:unhideWhenUsed/>
    <w:qFormat/>
    <w:uiPriority w:val="99"/>
    <w:pPr>
      <w:pBdr>
        <w:top w:val="single" w:color="auto" w:sz="6" w:space="1"/>
        <w:left w:val="single" w:color="auto" w:sz="6" w:space="1"/>
        <w:bottom w:val="single" w:color="auto" w:sz="6" w:space="1"/>
        <w:right w:val="single" w:color="auto" w:sz="6" w:space="1"/>
      </w:pBdr>
      <w:shd w:val="pct20" w:color="auto" w:fill="auto"/>
      <w:ind w:left="1134" w:hanging="1134"/>
    </w:pPr>
    <w:rPr>
      <w:rFonts w:asciiTheme="majorHAnsi" w:hAnsiTheme="majorHAnsi" w:eastAsiaTheme="majorEastAsia" w:cstheme="majorBidi"/>
    </w:rPr>
  </w:style>
  <w:style w:type="paragraph" w:styleId="23">
    <w:name w:val="Normal (Web)"/>
    <w:basedOn w:val="1"/>
    <w:unhideWhenUsed/>
    <w:uiPriority w:val="99"/>
    <w:pPr>
      <w:spacing w:before="100" w:beforeAutospacing="1" w:after="100" w:afterAutospacing="1"/>
    </w:pPr>
    <w:rPr>
      <w:rFonts w:ascii="Times New Roman" w:hAnsi="Times New Roman" w:eastAsia="Times New Roman" w:cs="Times New Roman"/>
      <w:lang w:val="es-EC" w:eastAsia="es-EC"/>
    </w:rPr>
  </w:style>
  <w:style w:type="paragraph" w:styleId="24">
    <w:name w:val="Salutation"/>
    <w:basedOn w:val="1"/>
    <w:next w:val="1"/>
    <w:link w:val="57"/>
    <w:unhideWhenUsed/>
    <w:qFormat/>
    <w:uiPriority w:val="99"/>
  </w:style>
  <w:style w:type="paragraph" w:styleId="25">
    <w:name w:val="Signature"/>
    <w:basedOn w:val="1"/>
    <w:link w:val="61"/>
    <w:unhideWhenUsed/>
    <w:qFormat/>
    <w:uiPriority w:val="99"/>
    <w:pPr>
      <w:ind w:left="4252"/>
    </w:pPr>
  </w:style>
  <w:style w:type="character" w:styleId="26">
    <w:name w:val="Strong"/>
    <w:basedOn w:val="6"/>
    <w:qFormat/>
    <w:uiPriority w:val="22"/>
    <w:rPr>
      <w:b/>
      <w:bCs/>
    </w:rPr>
  </w:style>
  <w:style w:type="table" w:styleId="27">
    <w:name w:val="Table Grid"/>
    <w:basedOn w:val="7"/>
    <w:qFormat/>
    <w:uiPriority w:val="59"/>
    <w:rPr>
      <w:sz w:val="22"/>
      <w:szCs w:val="22"/>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8">
    <w:name w:val="Título 3 Car"/>
    <w:basedOn w:val="6"/>
    <w:link w:val="4"/>
    <w:uiPriority w:val="9"/>
    <w:rPr>
      <w:rFonts w:ascii="Times New Roman" w:hAnsi="Times New Roman" w:eastAsia="Times New Roman" w:cs="Times New Roman"/>
      <w:b/>
      <w:bCs/>
      <w:sz w:val="27"/>
      <w:szCs w:val="27"/>
      <w:lang w:val="es-EC" w:eastAsia="es-EC"/>
    </w:rPr>
  </w:style>
  <w:style w:type="character" w:customStyle="1" w:styleId="29">
    <w:name w:val="Encabezado Car"/>
    <w:basedOn w:val="6"/>
    <w:link w:val="18"/>
    <w:uiPriority w:val="0"/>
  </w:style>
  <w:style w:type="character" w:customStyle="1" w:styleId="30">
    <w:name w:val="Pie de página Car"/>
    <w:basedOn w:val="6"/>
    <w:link w:val="17"/>
    <w:uiPriority w:val="99"/>
  </w:style>
  <w:style w:type="paragraph" w:styleId="31">
    <w:name w:val="List Paragraph"/>
    <w:basedOn w:val="1"/>
    <w:link w:val="77"/>
    <w:qFormat/>
    <w:uiPriority w:val="34"/>
    <w:pPr>
      <w:spacing w:after="200" w:line="276" w:lineRule="auto"/>
      <w:ind w:left="720"/>
      <w:contextualSpacing/>
    </w:pPr>
    <w:rPr>
      <w:rFonts w:eastAsiaTheme="minorEastAsia"/>
      <w:sz w:val="22"/>
      <w:szCs w:val="22"/>
      <w:lang w:val="es-ES" w:eastAsia="es-ES"/>
    </w:rPr>
  </w:style>
  <w:style w:type="character" w:customStyle="1" w:styleId="32">
    <w:name w:val="Texto de globo Car"/>
    <w:basedOn w:val="6"/>
    <w:link w:val="8"/>
    <w:semiHidden/>
    <w:uiPriority w:val="99"/>
    <w:rPr>
      <w:rFonts w:ascii="Tahoma" w:hAnsi="Tahoma" w:cs="Tahoma"/>
      <w:sz w:val="16"/>
      <w:szCs w:val="16"/>
    </w:rPr>
  </w:style>
  <w:style w:type="character" w:customStyle="1" w:styleId="33">
    <w:name w:val="gd"/>
    <w:basedOn w:val="6"/>
    <w:uiPriority w:val="0"/>
  </w:style>
  <w:style w:type="character" w:customStyle="1" w:styleId="34">
    <w:name w:val="go"/>
    <w:basedOn w:val="6"/>
    <w:uiPriority w:val="0"/>
  </w:style>
  <w:style w:type="character" w:customStyle="1" w:styleId="35">
    <w:name w:val="g3"/>
    <w:basedOn w:val="6"/>
    <w:uiPriority w:val="0"/>
  </w:style>
  <w:style w:type="character" w:customStyle="1" w:styleId="36">
    <w:name w:val="hb"/>
    <w:basedOn w:val="6"/>
    <w:uiPriority w:val="0"/>
  </w:style>
  <w:style w:type="character" w:customStyle="1" w:styleId="37">
    <w:name w:val="g2"/>
    <w:basedOn w:val="6"/>
    <w:qFormat/>
    <w:uiPriority w:val="0"/>
  </w:style>
  <w:style w:type="paragraph" w:customStyle="1" w:styleId="38">
    <w:name w:val="m_-2242529321976342586m_-8828825749927729891gmail-m_-825485249017499187gmail-m_-1236287982087939935gmail-msolistparagraph"/>
    <w:basedOn w:val="1"/>
    <w:qFormat/>
    <w:uiPriority w:val="0"/>
    <w:pPr>
      <w:spacing w:before="100" w:beforeAutospacing="1" w:after="100" w:afterAutospacing="1"/>
    </w:pPr>
    <w:rPr>
      <w:rFonts w:ascii="Times New Roman" w:hAnsi="Times New Roman" w:eastAsia="Times New Roman" w:cs="Times New Roman"/>
      <w:lang w:val="es-EC" w:eastAsia="es-EC"/>
    </w:rPr>
  </w:style>
  <w:style w:type="paragraph" w:customStyle="1" w:styleId="39">
    <w:name w:val="m_-6155834387294262058gmail-m_603166896872021241gmail-m_-1236287982087939935gmail-msolistparagraph"/>
    <w:basedOn w:val="1"/>
    <w:qFormat/>
    <w:uiPriority w:val="0"/>
    <w:pPr>
      <w:spacing w:before="100" w:beforeAutospacing="1" w:after="100" w:afterAutospacing="1"/>
    </w:pPr>
    <w:rPr>
      <w:rFonts w:ascii="Times New Roman" w:hAnsi="Times New Roman" w:eastAsia="Times New Roman" w:cs="Times New Roman"/>
      <w:lang w:val="es-EC" w:eastAsia="es-EC"/>
    </w:rPr>
  </w:style>
  <w:style w:type="character" w:customStyle="1" w:styleId="40">
    <w:name w:val="formcampos2"/>
    <w:qFormat/>
    <w:uiPriority w:val="0"/>
    <w:rPr>
      <w:sz w:val="20"/>
      <w:szCs w:val="20"/>
    </w:rPr>
  </w:style>
  <w:style w:type="character" w:customStyle="1" w:styleId="41">
    <w:name w:val="textoazul12"/>
    <w:basedOn w:val="6"/>
    <w:qFormat/>
    <w:uiPriority w:val="0"/>
  </w:style>
  <w:style w:type="character" w:customStyle="1" w:styleId="42">
    <w:name w:val="tituloazul"/>
    <w:basedOn w:val="6"/>
    <w:qFormat/>
    <w:uiPriority w:val="0"/>
  </w:style>
  <w:style w:type="paragraph" w:customStyle="1" w:styleId="43">
    <w:name w:val="HTML Top of Form"/>
    <w:basedOn w:val="1"/>
    <w:next w:val="1"/>
    <w:link w:val="44"/>
    <w:semiHidden/>
    <w:unhideWhenUsed/>
    <w:qFormat/>
    <w:uiPriority w:val="99"/>
    <w:pPr>
      <w:pBdr>
        <w:bottom w:val="single" w:color="auto" w:sz="6" w:space="1"/>
      </w:pBdr>
      <w:jc w:val="center"/>
    </w:pPr>
    <w:rPr>
      <w:rFonts w:ascii="Arial" w:hAnsi="Arial" w:eastAsia="Times New Roman" w:cs="Arial"/>
      <w:vanish/>
      <w:sz w:val="16"/>
      <w:szCs w:val="16"/>
      <w:lang w:val="es-EC" w:eastAsia="es-EC"/>
    </w:rPr>
  </w:style>
  <w:style w:type="character" w:customStyle="1" w:styleId="44">
    <w:name w:val="z-Principio del formulario Car"/>
    <w:basedOn w:val="6"/>
    <w:link w:val="43"/>
    <w:semiHidden/>
    <w:qFormat/>
    <w:uiPriority w:val="99"/>
    <w:rPr>
      <w:rFonts w:ascii="Arial" w:hAnsi="Arial" w:eastAsia="Times New Roman" w:cs="Arial"/>
      <w:vanish/>
      <w:sz w:val="16"/>
      <w:szCs w:val="16"/>
      <w:lang w:val="es-EC" w:eastAsia="es-EC"/>
    </w:rPr>
  </w:style>
  <w:style w:type="paragraph" w:customStyle="1" w:styleId="45">
    <w:name w:val="HTML Bottom of Form"/>
    <w:basedOn w:val="1"/>
    <w:next w:val="1"/>
    <w:link w:val="46"/>
    <w:semiHidden/>
    <w:unhideWhenUsed/>
    <w:qFormat/>
    <w:uiPriority w:val="99"/>
    <w:pPr>
      <w:pBdr>
        <w:top w:val="single" w:color="auto" w:sz="6" w:space="1"/>
      </w:pBdr>
      <w:jc w:val="center"/>
    </w:pPr>
    <w:rPr>
      <w:rFonts w:ascii="Arial" w:hAnsi="Arial" w:eastAsia="Times New Roman" w:cs="Arial"/>
      <w:vanish/>
      <w:sz w:val="16"/>
      <w:szCs w:val="16"/>
      <w:lang w:val="es-EC" w:eastAsia="es-EC"/>
    </w:rPr>
  </w:style>
  <w:style w:type="character" w:customStyle="1" w:styleId="46">
    <w:name w:val="z-Final del formulario Car"/>
    <w:basedOn w:val="6"/>
    <w:link w:val="45"/>
    <w:semiHidden/>
    <w:qFormat/>
    <w:uiPriority w:val="99"/>
    <w:rPr>
      <w:rFonts w:ascii="Arial" w:hAnsi="Arial" w:eastAsia="Times New Roman" w:cs="Arial"/>
      <w:vanish/>
      <w:sz w:val="16"/>
      <w:szCs w:val="16"/>
      <w:lang w:val="es-EC" w:eastAsia="es-EC"/>
    </w:rPr>
  </w:style>
  <w:style w:type="character" w:customStyle="1" w:styleId="47">
    <w:name w:val="textoazul"/>
    <w:basedOn w:val="6"/>
    <w:qFormat/>
    <w:uiPriority w:val="0"/>
  </w:style>
  <w:style w:type="character" w:customStyle="1" w:styleId="48">
    <w:name w:val="tituloazulpq"/>
    <w:basedOn w:val="6"/>
    <w:qFormat/>
    <w:uiPriority w:val="0"/>
  </w:style>
  <w:style w:type="character" w:customStyle="1" w:styleId="49">
    <w:name w:val="textoazul10"/>
    <w:basedOn w:val="6"/>
    <w:qFormat/>
    <w:uiPriority w:val="0"/>
  </w:style>
  <w:style w:type="character" w:customStyle="1" w:styleId="50">
    <w:name w:val="tabla"/>
    <w:basedOn w:val="6"/>
    <w:qFormat/>
    <w:uiPriority w:val="0"/>
  </w:style>
  <w:style w:type="character" w:customStyle="1" w:styleId="51">
    <w:name w:val="Ref. de nota al pie1"/>
    <w:qFormat/>
    <w:uiPriority w:val="0"/>
    <w:rPr>
      <w:vertAlign w:val="superscript"/>
    </w:rPr>
  </w:style>
  <w:style w:type="character" w:customStyle="1" w:styleId="52">
    <w:name w:val="Texto independiente Car"/>
    <w:basedOn w:val="6"/>
    <w:link w:val="9"/>
    <w:qFormat/>
    <w:uiPriority w:val="0"/>
    <w:rPr>
      <w:rFonts w:ascii="Times New Roman" w:hAnsi="Times New Roman" w:eastAsia="Arial Unicode MS" w:cs="Times New Roman"/>
      <w:kern w:val="1"/>
      <w:lang w:eastAsia="ar-SA"/>
    </w:rPr>
  </w:style>
  <w:style w:type="paragraph" w:customStyle="1" w:styleId="53">
    <w:name w:val="western"/>
    <w:basedOn w:val="1"/>
    <w:qFormat/>
    <w:uiPriority w:val="0"/>
    <w:pPr>
      <w:suppressAutoHyphens/>
      <w:spacing w:before="280" w:after="280"/>
    </w:pPr>
    <w:rPr>
      <w:rFonts w:ascii="Times New Roman" w:hAnsi="Times New Roman" w:eastAsia="Calibri" w:cs="Times New Roman"/>
      <w:lang w:val="es-EC" w:eastAsia="ar-SA"/>
    </w:rPr>
  </w:style>
  <w:style w:type="character" w:customStyle="1" w:styleId="54">
    <w:name w:val="qu"/>
    <w:basedOn w:val="6"/>
    <w:qFormat/>
    <w:uiPriority w:val="0"/>
  </w:style>
  <w:style w:type="character" w:customStyle="1" w:styleId="55">
    <w:name w:val="Título 1 Car"/>
    <w:basedOn w:val="6"/>
    <w:link w:val="2"/>
    <w:qFormat/>
    <w:uiPriority w:val="9"/>
    <w:rPr>
      <w:rFonts w:asciiTheme="majorHAnsi" w:hAnsiTheme="majorHAnsi" w:eastAsiaTheme="majorEastAsia" w:cstheme="majorBidi"/>
      <w:b/>
      <w:bCs/>
      <w:color w:val="2E75B6" w:themeColor="accent1" w:themeShade="BF"/>
      <w:sz w:val="28"/>
      <w:szCs w:val="28"/>
    </w:rPr>
  </w:style>
  <w:style w:type="character" w:customStyle="1" w:styleId="56">
    <w:name w:val="Título 2 Car"/>
    <w:basedOn w:val="6"/>
    <w:link w:val="3"/>
    <w:qFormat/>
    <w:uiPriority w:val="9"/>
    <w:rPr>
      <w:rFonts w:asciiTheme="majorHAnsi" w:hAnsiTheme="majorHAnsi" w:eastAsiaTheme="majorEastAsia" w:cstheme="majorBidi"/>
      <w:b/>
      <w:bCs/>
      <w:color w:val="5B9BD5" w:themeColor="accent1"/>
      <w:sz w:val="26"/>
      <w:szCs w:val="26"/>
      <w14:textFill>
        <w14:solidFill>
          <w14:schemeClr w14:val="accent1"/>
        </w14:solidFill>
      </w14:textFill>
    </w:rPr>
  </w:style>
  <w:style w:type="character" w:customStyle="1" w:styleId="57">
    <w:name w:val="Saludo Car"/>
    <w:basedOn w:val="6"/>
    <w:link w:val="24"/>
    <w:qFormat/>
    <w:uiPriority w:val="99"/>
  </w:style>
  <w:style w:type="character" w:customStyle="1" w:styleId="58">
    <w:name w:val="Cierre Car"/>
    <w:basedOn w:val="6"/>
    <w:link w:val="14"/>
    <w:qFormat/>
    <w:uiPriority w:val="99"/>
  </w:style>
  <w:style w:type="character" w:customStyle="1" w:styleId="59">
    <w:name w:val="Fecha Car"/>
    <w:basedOn w:val="6"/>
    <w:link w:val="15"/>
    <w:qFormat/>
    <w:uiPriority w:val="99"/>
  </w:style>
  <w:style w:type="paragraph" w:customStyle="1" w:styleId="60">
    <w:name w:val="Lista CC."/>
    <w:basedOn w:val="1"/>
    <w:qFormat/>
    <w:uiPriority w:val="0"/>
  </w:style>
  <w:style w:type="character" w:customStyle="1" w:styleId="61">
    <w:name w:val="Firma Car"/>
    <w:basedOn w:val="6"/>
    <w:link w:val="25"/>
    <w:qFormat/>
    <w:uiPriority w:val="99"/>
  </w:style>
  <w:style w:type="paragraph" w:customStyle="1" w:styleId="62">
    <w:name w:val="Firma puesto"/>
    <w:basedOn w:val="25"/>
    <w:qFormat/>
    <w:uiPriority w:val="0"/>
  </w:style>
  <w:style w:type="paragraph" w:customStyle="1" w:styleId="63">
    <w:name w:val="Firma organización"/>
    <w:basedOn w:val="25"/>
    <w:qFormat/>
    <w:uiPriority w:val="0"/>
  </w:style>
  <w:style w:type="paragraph" w:customStyle="1" w:styleId="64">
    <w:name w:val="Info documentos adjuntos"/>
    <w:basedOn w:val="1"/>
    <w:qFormat/>
    <w:uiPriority w:val="0"/>
  </w:style>
  <w:style w:type="character" w:customStyle="1" w:styleId="65">
    <w:name w:val="Sangría de texto normal Car"/>
    <w:basedOn w:val="6"/>
    <w:link w:val="11"/>
    <w:semiHidden/>
    <w:qFormat/>
    <w:uiPriority w:val="99"/>
  </w:style>
  <w:style w:type="character" w:customStyle="1" w:styleId="66">
    <w:name w:val="Texto independiente primera sangría 2 Car"/>
    <w:basedOn w:val="65"/>
    <w:link w:val="12"/>
    <w:qFormat/>
    <w:uiPriority w:val="99"/>
  </w:style>
  <w:style w:type="paragraph" w:customStyle="1" w:styleId="67">
    <w:name w:val="Texto sin formato1"/>
    <w:basedOn w:val="1"/>
    <w:qFormat/>
    <w:uiPriority w:val="0"/>
    <w:pPr>
      <w:suppressAutoHyphens/>
    </w:pPr>
    <w:rPr>
      <w:rFonts w:ascii="Calibri" w:hAnsi="Calibri" w:eastAsia="Calibri" w:cs="Times New Roman"/>
      <w:sz w:val="22"/>
      <w:szCs w:val="21"/>
      <w:lang w:val="es-EC" w:eastAsia="ar-SA"/>
    </w:rPr>
  </w:style>
  <w:style w:type="character" w:customStyle="1" w:styleId="68">
    <w:name w:val="Título 4 Car"/>
    <w:basedOn w:val="6"/>
    <w:link w:val="5"/>
    <w:qFormat/>
    <w:uiPriority w:val="9"/>
    <w:rPr>
      <w:rFonts w:asciiTheme="majorHAnsi" w:hAnsiTheme="majorHAnsi" w:eastAsiaTheme="majorEastAsia" w:cstheme="majorBidi"/>
      <w:b/>
      <w:bCs/>
      <w:i/>
      <w:iCs/>
      <w:color w:val="5B9BD5" w:themeColor="accent1"/>
      <w14:textFill>
        <w14:solidFill>
          <w14:schemeClr w14:val="accent1"/>
        </w14:solidFill>
      </w14:textFill>
    </w:rPr>
  </w:style>
  <w:style w:type="character" w:customStyle="1" w:styleId="69">
    <w:name w:val="Encabezado de mensaje Car"/>
    <w:basedOn w:val="6"/>
    <w:link w:val="22"/>
    <w:qFormat/>
    <w:uiPriority w:val="99"/>
    <w:rPr>
      <w:rFonts w:asciiTheme="majorHAnsi" w:hAnsiTheme="majorHAnsi" w:eastAsiaTheme="majorEastAsia" w:cstheme="majorBidi"/>
      <w:shd w:val="pct20" w:color="auto" w:fill="auto"/>
    </w:rPr>
  </w:style>
  <w:style w:type="character" w:customStyle="1" w:styleId="70">
    <w:name w:val="Texto independiente primera sangría Car"/>
    <w:basedOn w:val="52"/>
    <w:link w:val="10"/>
    <w:qFormat/>
    <w:uiPriority w:val="99"/>
    <w:rPr>
      <w:rFonts w:ascii="Times New Roman" w:hAnsi="Times New Roman" w:eastAsia="Arial Unicode MS" w:cs="Times New Roman"/>
      <w:kern w:val="1"/>
      <w:lang w:eastAsia="ar-SA"/>
    </w:rPr>
  </w:style>
  <w:style w:type="character" w:customStyle="1" w:styleId="71">
    <w:name w:val="field-content"/>
    <w:basedOn w:val="6"/>
    <w:qFormat/>
    <w:uiPriority w:val="0"/>
  </w:style>
  <w:style w:type="paragraph" w:customStyle="1" w:styleId="72">
    <w:name w:val="Style 2"/>
    <w:basedOn w:val="1"/>
    <w:qFormat/>
    <w:uiPriority w:val="0"/>
    <w:pPr>
      <w:widowControl w:val="0"/>
      <w:suppressAutoHyphens/>
      <w:ind w:left="288" w:right="72" w:hanging="288"/>
      <w:jc w:val="both"/>
    </w:pPr>
    <w:rPr>
      <w:rFonts w:ascii="Times New Roman" w:hAnsi="Times New Roman" w:eastAsia="Times New Roman" w:cs="Times New Roman"/>
      <w:szCs w:val="20"/>
      <w:lang w:val="en-US" w:eastAsia="hi-IN" w:bidi="hi-IN"/>
    </w:rPr>
  </w:style>
  <w:style w:type="character" w:customStyle="1" w:styleId="73">
    <w:name w:val="text-primary"/>
    <w:basedOn w:val="6"/>
    <w:qFormat/>
    <w:uiPriority w:val="0"/>
  </w:style>
  <w:style w:type="character" w:customStyle="1" w:styleId="74">
    <w:name w:val="text-danger"/>
    <w:basedOn w:val="6"/>
    <w:qFormat/>
    <w:uiPriority w:val="0"/>
  </w:style>
  <w:style w:type="character" w:customStyle="1" w:styleId="75">
    <w:name w:val="marcaroja"/>
    <w:basedOn w:val="6"/>
    <w:qFormat/>
    <w:uiPriority w:val="0"/>
  </w:style>
  <w:style w:type="paragraph" w:styleId="76">
    <w:name w:val="No Spacing"/>
    <w:link w:val="80"/>
    <w:qFormat/>
    <w:uiPriority w:val="1"/>
    <w:rPr>
      <w:rFonts w:ascii="Calibri" w:hAnsi="Calibri" w:eastAsia="Calibri" w:cs="Times New Roman"/>
      <w:sz w:val="22"/>
      <w:szCs w:val="22"/>
      <w:lang w:val="es-EC" w:eastAsia="en-US" w:bidi="ar-SA"/>
    </w:rPr>
  </w:style>
  <w:style w:type="character" w:customStyle="1" w:styleId="77">
    <w:name w:val="Párrafo de lista Car"/>
    <w:link w:val="31"/>
    <w:qFormat/>
    <w:locked/>
    <w:uiPriority w:val="34"/>
    <w:rPr>
      <w:rFonts w:eastAsiaTheme="minorEastAsia"/>
      <w:sz w:val="22"/>
      <w:szCs w:val="22"/>
      <w:lang w:val="es-ES" w:eastAsia="es-ES"/>
    </w:rPr>
  </w:style>
  <w:style w:type="paragraph" w:customStyle="1" w:styleId="78">
    <w:name w:val="Standard"/>
    <w:qFormat/>
    <w:uiPriority w:val="0"/>
    <w:pPr>
      <w:autoSpaceDN w:val="0"/>
    </w:pPr>
    <w:rPr>
      <w:rFonts w:ascii="Times New Roman" w:hAnsi="Times New Roman" w:eastAsia="Times New Roman" w:cs="Times New Roman"/>
      <w:sz w:val="20"/>
      <w:szCs w:val="20"/>
      <w:lang w:val="es-EC" w:eastAsia="es-EC" w:bidi="ar-SA"/>
    </w:rPr>
  </w:style>
  <w:style w:type="paragraph" w:customStyle="1" w:styleId="79">
    <w:name w:val="Default"/>
    <w:qFormat/>
    <w:uiPriority w:val="0"/>
    <w:rPr>
      <w:rFonts w:ascii="Arial" w:hAnsi="Arial" w:eastAsia="Calibri" w:cs="Arial"/>
      <w:color w:val="000000"/>
      <w:sz w:val="24"/>
      <w:szCs w:val="24"/>
      <w:lang w:val="es-EC" w:eastAsia="en-US" w:bidi="ar-SA"/>
    </w:rPr>
  </w:style>
  <w:style w:type="character" w:customStyle="1" w:styleId="80">
    <w:name w:val="Sin espaciado Car"/>
    <w:link w:val="76"/>
    <w:qFormat/>
    <w:uiPriority w:val="1"/>
    <w:rPr>
      <w:rFonts w:ascii="Calibri" w:hAnsi="Calibri" w:eastAsia="Calibri" w:cs="Times New Roman"/>
      <w:sz w:val="22"/>
      <w:szCs w:val="22"/>
      <w:lang w:val="es-EC"/>
    </w:rPr>
  </w:style>
  <w:style w:type="character" w:customStyle="1" w:styleId="81">
    <w:name w:val="Unresolved Mention"/>
    <w:basedOn w:val="6"/>
    <w:semiHidden/>
    <w:unhideWhenUsed/>
    <w:qFormat/>
    <w:uiPriority w:val="99"/>
    <w:rPr>
      <w:color w:val="605E5C"/>
      <w:shd w:val="clear" w:color="auto" w:fill="E1DFDD"/>
    </w:rPr>
  </w:style>
  <w:style w:type="paragraph" w:customStyle="1" w:styleId="82">
    <w:name w:val="Text body"/>
    <w:basedOn w:val="1"/>
    <w:qFormat/>
    <w:uiPriority w:val="0"/>
    <w:pPr>
      <w:autoSpaceDN w:val="0"/>
      <w:spacing w:after="120"/>
      <w:textAlignment w:val="baseline"/>
    </w:pPr>
    <w:rPr>
      <w:rFonts w:ascii="Times New Roman" w:hAnsi="Times New Roman" w:eastAsia="Times New Roman" w:cs="Times New Roman"/>
      <w:sz w:val="20"/>
      <w:szCs w:val="20"/>
      <w:lang w:val="es-EC" w:eastAsia="es-EC"/>
    </w:rPr>
  </w:style>
  <w:style w:type="paragraph" w:customStyle="1" w:styleId="83">
    <w:name w:val="Table Contents"/>
    <w:basedOn w:val="1"/>
    <w:qFormat/>
    <w:uiPriority w:val="0"/>
    <w:pPr>
      <w:suppressLineNumbers/>
      <w:suppressAutoHyphens/>
      <w:autoSpaceDN w:val="0"/>
      <w:textAlignment w:val="baseline"/>
    </w:pPr>
    <w:rPr>
      <w:rFonts w:ascii="Times New Roman" w:hAnsi="Times New Roman" w:eastAsia="Times New Roman" w:cs="Calibri"/>
      <w:lang w:val="es-EC" w:eastAsia="ar-SA"/>
    </w:rPr>
  </w:style>
  <w:style w:type="paragraph" w:customStyle="1" w:styleId="84">
    <w:name w:val="Normal1"/>
    <w:qFormat/>
    <w:uiPriority w:val="0"/>
    <w:pPr>
      <w:suppressAutoHyphens/>
      <w:spacing w:line="100" w:lineRule="atLeast"/>
      <w:textAlignment w:val="baseline"/>
    </w:pPr>
    <w:rPr>
      <w:rFonts w:ascii="Times New Roman" w:hAnsi="Times New Roman" w:eastAsia="Times New Roman" w:cs="Calibri"/>
      <w:sz w:val="24"/>
      <w:szCs w:val="24"/>
      <w:lang w:val="es-EC" w:eastAsia="ar-SA" w:bidi="ar-SA"/>
    </w:rPr>
  </w:style>
  <w:style w:type="paragraph" w:customStyle="1" w:styleId="85">
    <w:name w:val="xl74"/>
    <w:basedOn w:val="1"/>
    <w:qFormat/>
    <w:uiPriority w:val="0"/>
    <w:pPr>
      <w:widowControl w:val="0"/>
      <w:suppressAutoHyphens/>
      <w:spacing w:before="280" w:after="280"/>
      <w:jc w:val="center"/>
    </w:pPr>
    <w:rPr>
      <w:rFonts w:ascii="Arial" w:hAnsi="Arial" w:eastAsia="Arial Unicode MS" w:cs="Times New Roman"/>
      <w:b/>
      <w:bCs/>
      <w:kern w:val="1"/>
    </w:rPr>
  </w:style>
  <w:style w:type="character" w:customStyle="1" w:styleId="86">
    <w:name w:val="highlight"/>
    <w:basedOn w:val="6"/>
    <w:qFormat/>
    <w:uiPriority w:val="0"/>
  </w:style>
  <w:style w:type="paragraph" w:customStyle="1" w:styleId="87">
    <w:name w:val="Título 11"/>
    <w:basedOn w:val="1"/>
    <w:qFormat/>
    <w:uiPriority w:val="1"/>
    <w:pPr>
      <w:widowControl w:val="0"/>
      <w:spacing w:after="160" w:line="256" w:lineRule="auto"/>
      <w:ind w:left="529" w:hanging="360"/>
      <w:outlineLvl w:val="1"/>
    </w:pPr>
    <w:rPr>
      <w:rFonts w:ascii="Times New Roman" w:hAnsi="Times New Roman" w:eastAsia="Times New Roman"/>
      <w:b/>
      <w:bCs/>
      <w:sz w:val="26"/>
      <w:szCs w:val="26"/>
      <w:lang w:val="en-US"/>
    </w:rPr>
  </w:style>
  <w:style w:type="character" w:customStyle="1" w:styleId="88">
    <w:name w:val="e24kjd"/>
    <w:basedOn w:val="6"/>
    <w:qFormat/>
    <w:uiPriority w:val="0"/>
  </w:style>
  <w:style w:type="paragraph" w:customStyle="1" w:styleId="89">
    <w:name w:val="Revision"/>
    <w:hidden/>
    <w:semiHidden/>
    <w:qFormat/>
    <w:uiPriority w:val="99"/>
    <w:rPr>
      <w:rFonts w:asciiTheme="minorHAnsi" w:hAnsiTheme="minorHAnsi" w:eastAsiaTheme="minorHAnsi" w:cstheme="minorBidi"/>
      <w:sz w:val="24"/>
      <w:szCs w:val="24"/>
      <w:lang w:eastAsia="en-US" w:bidi="ar-SA"/>
    </w:rPr>
  </w:style>
  <w:style w:type="paragraph" w:customStyle="1" w:styleId="90">
    <w:name w:val="Table Paragraph"/>
    <w:basedOn w:val="1"/>
    <w:qFormat/>
    <w:uiPriority w:val="1"/>
    <w:pPr>
      <w:widowControl w:val="0"/>
      <w:spacing w:after="160" w:line="259" w:lineRule="auto"/>
    </w:pPr>
    <w:rPr>
      <w:sz w:val="22"/>
      <w:szCs w:val="22"/>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5050</Words>
  <Characters>27777</Characters>
  <Lines>231</Lines>
  <Paragraphs>65</Paragraphs>
  <TotalTime>16</TotalTime>
  <ScaleCrop>false</ScaleCrop>
  <LinksUpToDate>false</LinksUpToDate>
  <CharactersWithSpaces>32762</CharactersWithSpaces>
  <Application>WPS Office_11.1.0.9126_F1E327BC-269C-435d-A152-05C5408002CA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2020-03-23T12:28:00Z</dcterms:created>
  <dc:creator>Usuario de Microsoft Office</dc:creator>
  <cp:lastModifiedBy>maximo</cp:lastModifiedBy>
  <cp:lastPrinted>2020-03-03T17:45:00Z</cp:lastPrinted>
  <dcterms:modified xsi:type="dcterms:W3CDTF">2020-04-06T15:32:55Z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1033-11.1.0.9126</vt:lpwstr>
  </property>
</Properties>
</file>